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R1/R2/R3 comments addressed here concern the subsequent second round. We retain the prior 01549 work that remains relevant, including the preference study, FAC re-examination, original 276-object analysis, and historical adapter results; none is presented as a new Fresh C result.</w:t>
      </w:r>
    </w:p>
    <w:p>
      <w:pPr>
        <w:pStyle w:val="BlockText"/>
      </w:pPr>
      <w:r>
        <w:rPr>
          <w:bCs/>
          <w:b/>
        </w:rPr>
        <w:t xml:space="preserve">Author verification required before submission.</w:t>
      </w:r>
      <w:r>
        <w:t xml:space="preserve"> </w:t>
      </w:r>
      <w:r>
        <w:t xml:space="preserve">The retained</w:t>
      </w:r>
      <w:r>
        <w:t xml:space="preserve"> </w:t>
      </w:r>
      <w:r>
        <w:rPr>
          <w:rStyle w:val="VerbatimChar"/>
        </w:rPr>
        <w:t xml:space="preserve">CAG-D-26-00962-reviews.pdf</w:t>
      </w:r>
      <w:r>
        <w:t xml:space="preserve"> </w:t>
      </w:r>
      <w:r>
        <w:t xml:space="preserve">is labeled as initial-submission reviews, and no exact second-round export or editor email is available in this workspace. The round mapping is author-confirmed in the retained issue map; the headings below paraphrase that map and are not represented as verbatim reviewer quotations. Compare them with the editor’s original second-round decision before finalizing this response.</w:t>
      </w:r>
    </w:p>
    <w:p>
      <w:pPr>
        <w:pStyle w:val="FirstParagraph"/>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describe the actual Fresh C figures and controls, correct the stage-placement result, distinguish applied scale from schedule shape, and replace an invalid interaction-bootstrap inference with the available exploratory object-cluster robust Wald analysis. The revisions and remaining limits are detailed below.</w:t>
      </w:r>
    </w:p>
    <w:bookmarkStart w:id="25" w:name="reviewer-1"/>
    <w:p>
      <w:pPr>
        <w:pStyle w:val="Heading2"/>
      </w:pPr>
      <w:r>
        <w:t xml:space="preserve">Reviewer 1</w:t>
      </w:r>
    </w:p>
    <w:bookmarkStart w:id="20" w:name="X494d0e66d38227e498c1d845c1aeeb590543031"/>
    <w:p>
      <w:pPr>
        <w:pStyle w:val="Heading3"/>
      </w:pPr>
      <w:r>
        <w:t xml:space="preserve">Comment 1 — Visual artifacts, full-object comparisons, and 3D fidelity</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ROI; Figure 7 shows full-object context and the same ROI for favorable and adverse C3–GFL cases. Figure 6 is a rights-cleared, hash-traced Fresh C example that was not selected for color; it is not a reconstruction of the two unmapped legacy pink-shift cases. Supplementary Figure S1 retains the six-view, seven-condition panel.</w:t>
      </w:r>
    </w:p>
    <w:p>
      <w:pPr>
        <w:pStyle w:val="BodyText"/>
      </w:pPr>
      <w:r>
        <w:t xml:space="preserve">Fresh C’s No Adapter condition sets adapter scale to zero; it is not the unset-scale native-default path. The attempted Fresh C bake failed its native-input gate, so we report no valid Fresh C baked mesh, seam, or PBR result. We also could not verify reviewer-side access to the supplementary video.</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 5 (p. 9), color results/Table 7 (p. 11), Figure 6 (p. 12), Figure 7 (p. 13), Limitations (p. 15). Supplement: Figure S1 (p. 11), S6–S8 (pp. 10–11), S13/Table S17 (p. 15), and figure attribution/provenance in Table S1.</w:t>
      </w:r>
    </w:p>
    <w:bookmarkEnd w:id="20"/>
    <w:bookmarkStart w:id="21" w:name="comment-2-held-out-matched-evaluation"/>
    <w:p>
      <w:pPr>
        <w:pStyle w:val="Heading3"/>
      </w:pPr>
      <w:r>
        <w:t xml:space="preserve">Comment 2 — Held-out matched evaluation</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+0.522352 dB (95% object-bootstrap CI [+0.404160, +0.640669]).</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(pp. 3–5), Tables 3–4 (p. 8), stage placement (pp. 10–11), Limitations (p. 15). Supplement: S2 (p. 2), S3 (pp. 3–5), S4–S5 (pp. 6–10), S8 (p. 11), and S9 (p. 12).</w:t>
      </w:r>
    </w:p>
    <w:bookmarkEnd w:id="21"/>
    <w:bookmarkStart w:id="22" w:name="X351f164b97823f5a7a016ec7a13c31b4c2d75a1"/>
    <w:p>
      <w:pPr>
        <w:pStyle w:val="Heading3"/>
      </w:pPr>
      <w:r>
        <w:t xml:space="preserve">Comment 3 — Texture variation versus texture fidelity</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(p. 3); Figures 4–7 (pp. 8–13); Table 9 (p. 14); Limitations (p. 15). Supplement: S2 (p. 2), S7 (p. 11), S12 (p. 14).</w:t>
      </w:r>
    </w:p>
    <w:bookmarkEnd w:id="22"/>
    <w:bookmarkStart w:id="23" w:name="X1f4fe6c3d6cabbfc3f8774427560293571019ea"/>
    <w:p>
      <w:pPr>
        <w:pStyle w:val="Heading3"/>
      </w:pPr>
      <w:r>
        <w:t xml:space="preserve">Comment 4 — Paired uncertainty and Edge-SSIM</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(p. 8). Supplement: Section S2 (p. 2).</w:t>
      </w:r>
    </w:p>
    <w:bookmarkEnd w:id="23"/>
    <w:bookmarkStart w:id="24" w:name="Xacf2a2aed0dc0de57b7c802cbcdef6528d9056c"/>
    <w:p>
      <w:pPr>
        <w:pStyle w:val="Heading3"/>
      </w:pPr>
      <w:r>
        <w:t xml:space="preserve">Comment 5 — FAC reproducibility and code availability</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We make no claim of a full replay or public code release.</w:t>
      </w:r>
    </w:p>
    <w:p>
      <w:pPr>
        <w:pStyle w:val="BodyText"/>
      </w:pPr>
      <w:r>
        <w:rPr>
          <w:bCs/>
          <w:b/>
        </w:rPr>
        <w:t xml:space="preserve">Location.</w:t>
      </w:r>
      <w:r>
        <w:t xml:space="preserve"> </w:t>
      </w:r>
      <w:r>
        <w:t xml:space="preserve">Main manuscript: FAC discussion (p. 14) and Limitations (p. 15). Supplement: S11/Table S15 (p. 13).</w:t>
      </w:r>
    </w:p>
    <w:bookmarkEnd w:id="24"/>
    <w:bookmarkEnd w:id="25"/>
    <w:bookmarkStart w:id="29" w:name="reviewer-2"/>
    <w:p>
      <w:pPr>
        <w:pStyle w:val="Heading2"/>
      </w:pPr>
      <w:r>
        <w:t xml:space="preserve">Reviewer 2</w:t>
      </w:r>
    </w:p>
    <w:bookmarkStart w:id="26" w:name="X07ecee1ad1ace1bda96364f0665765da5624d66"/>
    <w:p>
      <w:pPr>
        <w:pStyle w:val="Heading3"/>
      </w:pPr>
      <w:r>
        <w:t xml:space="preserve">Concern 1 — Methodological contribution beyond schedule selection</w:t>
      </w:r>
    </w:p>
    <w:p>
      <w:pPr>
        <w:pStyle w:val="FirstParagraph"/>
      </w:pPr>
      <w:r>
        <w:rPr>
          <w:bCs/>
          <w:b/>
        </w:rPr>
        <w:t xml:space="preserve">Response.</w:t>
      </w:r>
      <w:r>
        <w:t xml:space="preserve"> </w:t>
      </w:r>
      <w:r>
        <w:t xml:space="preserve">We agree that timestep- or layer-dependent scheduling is not new by itself. The revision states this directly and positions TCAS as a graphics-task-specific intervention on the existing GeoTex-Adapter residual path. Its contribution is the operational distinction between requested scale, scale after native caps, and the resulting residual correction, together with paired measurements of fixed and scheduled controls on multi-view texture outputs.</w:t>
      </w:r>
    </w:p>
    <w:p>
      <w:pPr>
        <w:pStyle w:val="BodyText"/>
      </w:pPr>
      <w:r>
        <w:t xml:space="preserve">Fresh C favors C3 over GFL on registered FG-PSNR, but GFH and Generic Linear have stronger means on all four displayed endpoints; C3/GFL also differ in applied deep/middle sums. Post-inspection strict-276 favors L–L–H, but its layer-wise correction summaries are unmatched. We claim neither C3 optimality nor a timing-only effect. SSI prior art is acknowledged; training-free implementation is not offered as the sole novelty argument. Novelty sufficiency remains an editorial judgment.</w:t>
      </w:r>
    </w:p>
    <w:p>
      <w:pPr>
        <w:pStyle w:val="BodyText"/>
      </w:pPr>
      <w:r>
        <w:t xml:space="preserve">Re-audit showed that the A3b support calculation and probe-24 calibration used raw</w:t>
      </w:r>
      <w:r>
        <w:t xml:space="preserve"> </w:t>
      </w:r>
      <m:oMath>
        <m:sSub>
          <m:e>
            <m:r>
              <m:t>L</m:t>
            </m:r>
          </m:e>
          <m:sub>
            <m:r>
              <m:t>2</m:t>
            </m:r>
          </m:sub>
        </m:sSub>
      </m:oMath>
      <w:r>
        <w:t xml:space="preserve"> </w:t>
      </w:r>
      <w:r>
        <w:t xml:space="preserve">across feature maps of different spatial size; channel counts were not logged. We withdraw their cross-layer support and equal-dose/imbalance interpretations. The fixed A3b values remain as tested settings. Supplementary S3 states this limit; S4 reports per-entry magnitudes descriptively. A3b supports response heterogeneity under those settings, not an equal-dose or dose-independent effect.</w:t>
      </w:r>
    </w:p>
    <w:p>
      <w:pPr>
        <w:pStyle w:val="BodyText"/>
      </w:pPr>
      <w:r>
        <w:rPr>
          <w:bCs/>
          <w:b/>
        </w:rPr>
        <w:t xml:space="preserve">Location.</w:t>
      </w:r>
      <w:r>
        <w:t xml:space="preserve"> </w:t>
      </w:r>
      <w:r>
        <w:t xml:space="preserve">Main manuscript: Introduction/Related Work (pp. 1–2), TCAS Method (pp. 3–5), Tables 3–4 (p. 8), Tables 5–7 (p. 11), Tables 8–9 (p. 14), stage analysis (pp. 10–11), Limitations/Conclusion (p. 15). Supplement: S3 (pp. 3–5), S4–S5 (pp. 6–10), S9 (p. 12), and S12 (p. 14).</w:t>
      </w:r>
    </w:p>
    <w:bookmarkEnd w:id="26"/>
    <w:bookmarkStart w:id="27" w:name="Xc9d0386d148c51a3d55d5ab3b97e64a3f717474"/>
    <w:p>
      <w:pPr>
        <w:pStyle w:val="Heading3"/>
      </w:pPr>
      <w:r>
        <w:t xml:space="preserve">Concern 2 — CAI and empirical schedule selection</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(pp. 3–5), development Table 2 (p. 7), Figure 4 (p. 8). Supplement: S10 (p. 12) and Table S14 (p. 13).</w:t>
      </w:r>
    </w:p>
    <w:bookmarkEnd w:id="27"/>
    <w:bookmarkStart w:id="28" w:name="Xb90bd15e64b3a8eeb7359d958f85d05ba83411d"/>
    <w:p>
      <w:pPr>
        <w:pStyle w:val="Heading3"/>
      </w:pPr>
      <w:r>
        <w:t xml:space="preserve">Concern 3 — Cross-backbone generalization and interaction inference</w:t>
      </w:r>
    </w:p>
    <w:p>
      <w:pPr>
        <w:pStyle w:val="FirstParagraph"/>
      </w:pPr>
      <w:r>
        <w:rPr>
          <w:bCs/>
          <w:b/>
        </w:rPr>
        <w:t xml:space="preserve">Response.</w:t>
      </w:r>
      <w:r>
        <w:t xml:space="preserve"> </w:t>
      </w:r>
      <w:r>
        <w:t xml:space="preserve">We withdraw the invalid 98/99-probe interaction bootstrap. An exploratory object-cluster Wald reanalysis detected no Holm-adjusted interaction across four metrics (adjusted p-values 0.156–0.868); non-detection is not equivalence.</w:t>
      </w:r>
    </w:p>
    <w:p>
      <w:pPr>
        <w:pStyle w:val="BodyText"/>
      </w:pPr>
      <w:r>
        <w:t xml:space="preserve">The retrospective 76-object MV-Adapter panel adds 228 layer-wise outputs, but scales condition-guider features before UNet injection rather than GeoTex residual corrections. Its results trade endpoints; each temporal contrast has one of six pointwise intervals excluding zero among 30 unadjusted intervals. The three-object wrapper audit matched the existing global runner in 9/9 cases, not the official native-scale path. The 75-object MVDiffusion panel used a compatibility base; a separate native-mirror check matched 1,552 tensors and 12 views for one object, but the panel was not rerun. These interface-specific probes do not establish matched cross-backbone transfer.</w:t>
      </w:r>
    </w:p>
    <w:p>
      <w:pPr>
        <w:pStyle w:val="BodyText"/>
      </w:pPr>
      <w:r>
        <w:rPr>
          <w:bCs/>
          <w:b/>
        </w:rPr>
        <w:t xml:space="preserve">Location.</w:t>
      </w:r>
      <w:r>
        <w:t xml:space="preserve"> </w:t>
      </w:r>
      <w:r>
        <w:t xml:space="preserve">Main manuscript: Cross-Interface Evaluation (pp. 13–14; Table 8 p. 14) and Limitations (p. 15). Supplement: S5 (pp. 6–10), Table S10 (p. 9), and Table S11 (pp. 9–10).</w:t>
      </w:r>
    </w:p>
    <w:bookmarkEnd w:id="28"/>
    <w:bookmarkEnd w:id="29"/>
    <w:bookmarkStart w:id="30" w:name="reviewer-3"/>
    <w:p>
      <w:pPr>
        <w:pStyle w:val="Heading2"/>
      </w:pPr>
      <w:r>
        <w:t xml:space="preserve">Reviewer 3</w:t>
      </w:r>
    </w:p>
    <w:p>
      <w:pPr>
        <w:pStyle w:val="FirstParagraph"/>
      </w:pPr>
      <w:r>
        <w:t xml:space="preserve">We thank Reviewer 3 for the positive assessment. No new technical change or experiment was requested.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2026-10-10T04:38:50Z</dcterms:created>
  <dcterms:modified xsi:type="dcterms:W3CDTF">2026-10-10T04:38:50Z</dcterms:modified>
</cp:coreProperties>
</file>

<file path=docProps/custom.xml><?xml version="1.0" encoding="utf-8"?>
<Properties xmlns="http://schemas.openxmlformats.org/officeDocument/2006/custom-properties" xmlns:vt="http://schemas.openxmlformats.org/officeDocument/2006/docPropsVTypes"/>
</file>