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lockText"/>
      </w:pPr>
      <w:r>
        <w:rPr>
          <w:bCs/>
          <w:b/>
        </w:rPr>
        <w:t xml:space="preserve">Author verification required before submission.</w:t>
      </w:r>
      <w:r>
        <w:t xml:space="preserve"> </w:t>
      </w:r>
      <w:r>
        <w:t xml:space="preserve">The retained</w:t>
      </w:r>
      <w:r>
        <w:t xml:space="preserve"> </w:t>
      </w:r>
      <w:r>
        <w:rPr>
          <w:rStyle w:val="VerbatimChar"/>
        </w:rPr>
        <w:t xml:space="preserve">CAG-D-26-00962-reviews.pdf</w:t>
      </w:r>
      <w:r>
        <w:t xml:space="preserve"> </w:t>
      </w:r>
      <w:r>
        <w:t xml:space="preserve">is labeled as initial-submission reviews, and no exact second-round export or editor email is available in this workspace. The round mapping is author-confirmed in the retained issue map; the headings below paraphrase that map and are not represented as verbatim reviewer quotations. Compare them with the editor’s original second-round decision before finalizing this response.</w:t>
      </w:r>
    </w:p>
    <w:p>
      <w:pPr>
        <w:pStyle w:val="FirstParagraph"/>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submitted panels did not establish appearance across complete objects or after texture projection. Figure 5 now pairs fixed-scale and Generic Linear comparisons with a shared target view and ROI; Figure 7 shows full-object context and the same ROI for favorable and adverse C3–GFL cases. Figure 6 is a rights-cleared, hash-traced Fresh C example that was not selected for color; it is not a reconstruction of the two unmapped legacy pink-shift cases. Supplementary Figure S1 retains the six-view, seven-condition panel.</w:t>
      </w:r>
    </w:p>
    <w:p>
      <w:pPr>
        <w:pStyle w:val="BodyText"/>
      </w:pPr>
      <w:r>
        <w:t xml:space="preserve">Fresh C’s No Adapter condition sets adapter scale to zero; it is not the unset-scale native-default path. The attempted Fresh C bake failed its native-input gate, so we report no valid Fresh C baked mesh, seam, or PBR result. We also could not verify reviewer-side access to the supplementary video.</w:t>
      </w:r>
    </w:p>
    <w:p>
      <w:pPr>
        <w:pStyle w:val="BodyText"/>
      </w:pPr>
      <w:r>
        <w:t xml:space="preserve">The paired, failure-enriched 26-object color diagnosis shows that GFL reduces mean foreground CIEDE2000 relative to No Adapter by 19.65 (95% CI [−26.37, −13.25]; 24/26 objects), while pink/purple shifts remain in two legacy cases. LLH−GFL increases CIEDE2000 by 3.58 and lowers local gradient and high-frequency measures, consistent with detail suppression rather than a color repair. The additional appearance-pathway and P0 checks do not identify the full cause or validate a repair. These selected cases do not estimate prevalence, texture fidelity, or baked 3D/PBR quality.</w:t>
      </w:r>
    </w:p>
    <w:p>
      <w:pPr>
        <w:pStyle w:val="BodyText"/>
      </w:pPr>
      <w:r>
        <w:rPr>
          <w:bCs/>
          <w:b/>
        </w:rPr>
        <w:t xml:space="preserve">Location.</w:t>
      </w:r>
      <w:r>
        <w:t xml:space="preserve"> </w:t>
      </w:r>
      <w:r>
        <w:t xml:space="preserve">Main manuscript: Figure 5 (p. 9), color results/Table 7 (p. 11), Figure 6 (p. 12), Figure 7 (p. 13), Limitations (p. 15). Supplement: Figure S1 (p. 11), S6–S8 (pp. 10–11), S13/Table S17 (p. 15), and figure attribution/provenance in Table S1.</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Fresh C evaluates the current adapter on 300 frozen object IDs disjoint from both the earlier 24-object schedule-development probe and the original 300-object evaluation. The primary run and same-cohort addendum share the checkpoint, runner, inputs, target views, metrics, and per-object seed policy; the integrity gates pass for 1,200/1,200 primary rows and 600/600 addendum rows. The registered C3−GFL FG-PSNR difference is +0.522352 dB (95% object-bootstrap CI [+0.404160, +0.640669]).</w:t>
      </w:r>
    </w:p>
    <w:p>
      <w:pPr>
        <w:pStyle w:val="BodyText"/>
      </w:pPr>
      <w:r>
        <w:t xml:space="preserve">We report the counter-results alongside it: GFH and Generic Linear have more favorable cohort means than C3 on all four displayed endpoints. C3 and GFL also differ in applied deep/middle scale sums (82.5 versus 62.5), so this is not a timing-only comparison. Fresh C is a controlled retraining, not the historical 01549 checkpoint or a numerical reproduction of its +0.96 dB estimate. The older strict-276 and Core-7 analyses remain separately labeled retrospective diagnostics; neither replaces this matched current-adapter comparison.</w:t>
      </w:r>
    </w:p>
    <w:p>
      <w:pPr>
        <w:pStyle w:val="BodyText"/>
      </w:pPr>
      <w:r>
        <w:rPr>
          <w:bCs/>
          <w:b/>
        </w:rPr>
        <w:t xml:space="preserve">Location.</w:t>
      </w:r>
      <w:r>
        <w:t xml:space="preserve"> </w:t>
      </w:r>
      <w:r>
        <w:t xml:space="preserve">Main manuscript: Methods (pp. 3–5), Tables 3–4 (p. 8), stage placement (pp. 10–11), Limitations (p. 15). Supplement: S2 (p. 2), S3 (pp. 3–5), S4–S5 (pp. 6–10), S8 (p. 11), and S9 (p. 12).</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revision defines these as variation diagnostics and does not use them as fidelity endpoints. Fresh C reports image-space agreement, not validated texture fidelity. The 01549 3AFC study is retained only as a subjective preference result for its original conditions. The retrospective texture-complexity analysis in Supplement S12 is noncausal and is not used as a fidelity measure, schedule selector, or result for C3.</w:t>
      </w:r>
    </w:p>
    <w:p>
      <w:pPr>
        <w:pStyle w:val="BodyText"/>
      </w:pPr>
      <w:r>
        <w:rPr>
          <w:bCs/>
          <w:b/>
        </w:rPr>
        <w:t xml:space="preserve">Location.</w:t>
      </w:r>
      <w:r>
        <w:t xml:space="preserve"> </w:t>
      </w:r>
      <w:r>
        <w:t xml:space="preserve">Main: metrics (p. 3); Figures 4–7 (pp. 8–13); Table 9 (p. 14); Limitations (p. 15). Supplement: S2 (p. 2), S7 (p. 11), S12 (p. 14).</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8).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seven-configuration FAC negative re-examination and separate untrained control as results reported in the first-round 01549 revision, not as new 1008 experiments. The reported trained configurations were 1.10–2.94 dB below TCAS on FG-PSNR; the untrained 12-object control reported ΔFG-PSNR −0.18 dB (95% CI [−0.42, +0.05]). We disclose that the recovered configuration references a 1,200-object list rather than the reported 1,706-object pool, and that no run-bound manifest links the training seed, outputs, and runtime. We make no claim of a full replay or public code release.</w:t>
      </w:r>
    </w:p>
    <w:p>
      <w:pPr>
        <w:pStyle w:val="BodyText"/>
      </w:pPr>
      <w:r>
        <w:rPr>
          <w:bCs/>
          <w:b/>
        </w:rPr>
        <w:t xml:space="preserve">Location.</w:t>
      </w:r>
      <w:r>
        <w:t xml:space="preserve"> </w:t>
      </w:r>
      <w:r>
        <w:t xml:space="preserve">Main manuscript: FAC discussion (p. 14) and Limitations (p. 15). Supplement: S11/Table S15 (p. 13).</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We agree that timestep- or layer-dependent scheduling is not new by itself. The revision states this directly and positions TCAS as a graphics-task-specific intervention on the existing GeoTex-Adapter residual path. Its contribution is the operational distinction between requested scale, scale after native caps, and the resulting residual correction, together with paired measurements of fixed and scheduled controls on multi-view texture outputs.</w:t>
      </w:r>
    </w:p>
    <w:p>
      <w:pPr>
        <w:pStyle w:val="BodyText"/>
      </w:pPr>
      <w:r>
        <w:t xml:space="preserve">Fresh C favors C3 over GFL on registered FG-PSNR, but GFH and Generic Linear have stronger means on all four displayed endpoints; C3/GFL also differ in applied deep/middle sums. Post-inspection strict-276 favors L–L–H, but its layer-wise correction summaries are unmatched. We claim neither C3 optimality nor a timing-only effect. SSI prior art is acknowledged; training-free implementation is not offered as the sole novelty argument. Novelty sufficiency remains an editorial judgment.</w:t>
      </w:r>
    </w:p>
    <w:p>
      <w:pPr>
        <w:pStyle w:val="BodyText"/>
      </w:pPr>
      <w:r>
        <w:t xml:space="preserve">Re-audit showed that the A3b support calculation and probe-24 calibration used raw</w:t>
      </w:r>
      <w:r>
        <w:t xml:space="preserve"> </w:t>
      </w:r>
      <m:oMath>
        <m:sSub>
          <m:e>
            <m:r>
              <m:t>L</m:t>
            </m:r>
          </m:e>
          <m:sub>
            <m:r>
              <m:t>2</m:t>
            </m:r>
          </m:sub>
        </m:sSub>
      </m:oMath>
      <w:r>
        <w:t xml:space="preserve"> </w:t>
      </w:r>
      <w:r>
        <w:t xml:space="preserve">across feature maps of different spatial size; channel counts were not logged. We withdraw their cross-layer support and equal-dose/imbalance interpretations. The fixed A3b values remain as tested settings. Supplementary S3 states this limit; S4 reports per-entry magnitudes descriptively. A3b supports response heterogeneity under those settings, not an equal-dose or dose-independent effect.</w:t>
      </w:r>
    </w:p>
    <w:p>
      <w:pPr>
        <w:pStyle w:val="BodyText"/>
      </w:pPr>
      <w:r>
        <w:rPr>
          <w:bCs/>
          <w:b/>
        </w:rPr>
        <w:t xml:space="preserve">Location.</w:t>
      </w:r>
      <w:r>
        <w:t xml:space="preserve"> </w:t>
      </w:r>
      <w:r>
        <w:t xml:space="preserve">Main manuscript: Introduction/Related Work (pp. 1–2), TCAS Method (pp. 3–5), Tables 3–4 (p. 8), Tables 5–7 (p. 11), Tables 8–9 (p. 14), stage analysis (pp. 10–11), Limitations/Conclusion (p. 15). Supplement: S3 (pp. 3–5), S4–S5 (pp. 6–10), S9 (p. 12), and S12 (p. 14).</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formalized an empirically selected profile rather than deriving it independently. We remove the selector, proposition, proof, and optimality claim. TCAS’s residual-injection equation, three-stage profile, C3 definition, and 24-object development record remain, labeled as historical development evidence rather than a verified ranking or unique optimum.</w:t>
      </w:r>
    </w:p>
    <w:p>
      <w:pPr>
        <w:pStyle w:val="BodyText"/>
      </w:pPr>
      <w:r>
        <w:rPr>
          <w:bCs/>
          <w:b/>
        </w:rPr>
        <w:t xml:space="preserve">Location.</w:t>
      </w:r>
      <w:r>
        <w:t xml:space="preserve"> </w:t>
      </w:r>
      <w:r>
        <w:t xml:space="preserve">Main manuscript: TCAS Method (pp. 3–5), development Table 2 (p. 7), Figure 4 (p. 8). Supplement: S10 (p. 12) and Table S14 (p. 13).</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withdraw the invalid 98/99-probe interaction bootstrap. An exploratory object-cluster Wald reanalysis detected no Holm-adjusted interaction across four metrics (adjusted p-values 0.156–0.868); non-detection is not equivalence.</w:t>
      </w:r>
    </w:p>
    <w:p>
      <w:pPr>
        <w:pStyle w:val="BodyText"/>
      </w:pPr>
      <w:r>
        <w:t xml:space="preserve">The retrospective 76-object MV-Adapter panel adds 228 layer-wise outputs, but scales condition-guider features before UNet injection rather than GeoTex residual corrections. Its results trade endpoints; each temporal contrast has one of six pointwise intervals excluding zero among 30 unadjusted intervals. The three-object wrapper audit matched the existing global runner in 9/9 cases, not the official native-scale path. The 75-object MVDiffusion panel used a compatibility base; a separate native-mirror check matched 1,552 tensors and 12 views for one object, but the panel was not rerun. These interface-specific probes do not establish matched cross-backbone transfer.</w:t>
      </w:r>
    </w:p>
    <w:p>
      <w:pPr>
        <w:pStyle w:val="BodyText"/>
      </w:pPr>
      <w:r>
        <w:rPr>
          <w:bCs/>
          <w:b/>
        </w:rPr>
        <w:t xml:space="preserve">Location.</w:t>
      </w:r>
      <w:r>
        <w:t xml:space="preserve"> </w:t>
      </w:r>
      <w:r>
        <w:t xml:space="preserve">Main manuscript: Cross-Interface Evaluation (pp. 13–14; Table 8 p. 14) and Limitations (p. 15). Supplement: S5 (pp. 6–10), Table S10 (p. 9), and Table S11 (pp. 9–10).</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2026-10-10T04:45:28Z</dcterms:created>
  <dcterms:modified xsi:type="dcterms:W3CDTF">2026-10-10T04:45:28Z</dcterms:modified>
</cp:coreProperties>
</file>

<file path=docProps/custom.xml><?xml version="1.0" encoding="utf-8"?>
<Properties xmlns="http://schemas.openxmlformats.org/officeDocument/2006/custom-properties" xmlns:vt="http://schemas.openxmlformats.org/officeDocument/2006/docPropsVTypes"/>
</file>