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original results and conclusions are retained in the revised manuscript; following the reviewers’ suggestions, we have added new analyses, documentation, and controlled experiments, as detailed below.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Adam with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 = −0.18 dB on the control subset, 95% CI crossing zero, validating the evaluation path), whereas every trained configuration degrades fidelity, with paired deficits ranging from −1.1 to −2.9 dB 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paragraph in Section 4.1.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(Please see Section 4.1 of the revised manuscript.)</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validation objects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58.0% (CI [50.1%, 65.8%]), exceeding the conservative and aggressive baselines by +33.6 points (CI [19.3, 47.2]) and +40.5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roles of the diffusion process itself. We explicitly acknowledge in Section 5 (Limitations) that the evidence remains within one architecture family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under an additive stage-utility approximation and per-stage structural guardrails, the admissible schedule maximizing fidelity is bang–bang, and the measured utilities select exactly the low–high–low assignment (U_e = −0.788 dB, CI [−1.420, −0.156], guardrail-violating; U_m = +0.574 dB, CI [0.391, 0.756]; U_l = +0.077 dB, CI [0.006, 0.149], structurally insignificant, hence the conservative tie-break). The proposition is explicitly conditional on the measured adapter regime. Second, a boundary/peak sensitivity sweep (three high-scale windows × five peak scales, fifteen candidates on the 24-object probe protocol,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of the revised manuscript), and the disjoint-holdout transfers described in our response to Reviewer 3 rule out the remaining generic schedules (linear warm-up, cosine bump, trapezoid, and Gaussian-peak).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optimization (Adam,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2026-09-03T12:27:42Z</dcterms:created>
  <dcterms:modified xsi:type="dcterms:W3CDTF">2026-09-03T12:27:42Z</dcterms:modified>
</cp:coreProperties>
</file>

<file path=docProps/custom.xml><?xml version="1.0" encoding="utf-8"?>
<Properties xmlns="http://schemas.openxmlformats.org/officeDocument/2006/custom-properties" xmlns:vt="http://schemas.openxmlformats.org/officeDocument/2006/docPropsVTypes"/>
</file>