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w:t>
      </w:r>
    </w:p>
    <w:p>
      <w:pPr>
        <w:pStyle w:val="BodyText"/>
      </w:pPr>
      <w:r>
        <w:t xml:space="preserve">Please consider our revised manuscript,</w:t>
      </w:r>
      <w:r>
        <w:t xml:space="preserve"> </w:t>
      </w:r>
      <w:r>
        <w:rPr>
          <w:bCs/>
          <w:b/>
        </w:rPr>
        <w:t xml:space="preserve">Geometry-Control Allocation in Multi-view Diffusion Texturing: A Controlled Empirical Study</w:t>
      </w:r>
      <w:r>
        <w:t xml:space="preserve">, for continued consideration under manuscript CAG-S-26-01549. The title now states the controlled empirical scope. The intervention remains TCAS and its historical C3 profile, but the complete evidence changes the original recommendation. The marked manuscript is compared with the authenticated original submission.</w:t>
      </w:r>
    </w:p>
    <w:p>
      <w:pPr>
        <w:pStyle w:val="BodyText"/>
      </w:pPr>
      <w:r>
        <w:t xml:space="preserve">Competitive fixed and linear controls outperform C3 on the four main Fresh C image means. At matched applied budgets, the original middle-minus-average-of-early-and-late primary does not detect a gain, and fixed mean and late-high outperform C3. Actual baked meshes show a small late-high benefit in ten compatible GeoTex objects and no detected benefit in a separate twenty-object GSO cohort. Native interface and fixed-seed comparisons further limit transfer and per-object repeatability. Existing layer/time scheduling precedents are acknowledged; a new general scheduling principle, CAI derivation and universal C3 superiority are not claimed.</w:t>
      </w:r>
    </w:p>
    <w:p>
      <w:pPr>
        <w:pStyle w:val="BodyText"/>
      </w:pPr>
      <w:r>
        <w:t xml:space="preserve">The final cross-branch consolidation also reports a completed retrained historical-request technical panel with opposite full-frame and foreground PSNR directions. One logged input failure caused an unknown sample substitution. All original rows and the failed-slot-exclusion sensitivity are retained, and the panel is not treated as strict held-out or independent-object confirmation. Recovering the separate historical v2 EMA does not restore the original main v1 experiment. FAC source and bounded offline component checks are delivered, while full historical training identity remains incomplete.</w:t>
      </w:r>
    </w:p>
    <w:p>
      <w:pPr>
        <w:pStyle w:val="BodyText"/>
      </w:pPr>
      <w:r>
        <w:t xml:space="preserve">The accompanying clean and marked manuscripts, Supplement, point-by-point response, attributed mesh-comparison video, editable source and offline statistical reproduction archive retain favorable, non-detected and adverse results. We ask that the contribution be assessed as bounded empirical knowledge about geometry-control allocation and its application limits.</w:t>
      </w:r>
    </w:p>
    <w:p>
      <w:pPr>
        <w:pStyle w:val="BodyText"/>
      </w:pPr>
      <w:r>
        <w:t xml:space="preserve">Sincerely,</w:t>
      </w:r>
      <w:r>
        <w:t xml:space="preserve"> </w:t>
      </w: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2026-10-13T01:07:41Z</dcterms:created>
  <dcterms:modified xsi:type="dcterms:W3CDTF">2026-10-13T01:07:41Z</dcterms:modified>
</cp:coreProperties>
</file>

<file path=docProps/custom.xml><?xml version="1.0" encoding="utf-8"?>
<Properties xmlns="http://schemas.openxmlformats.org/officeDocument/2006/custom-properties" xmlns:vt="http://schemas.openxmlformats.org/officeDocument/2006/docPropsVTypes"/>
</file>