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全本地实验裁决与最终论文方向"/>
    <w:p>
      <w:pPr>
        <w:pStyle w:val="Heading1"/>
      </w:pPr>
      <w:r>
        <w:t xml:space="preserve">全本地实验裁决与最终论文方向</w:t>
      </w:r>
    </w:p>
    <w:p>
      <w:pPr>
        <w:pStyle w:val="FirstParagraph"/>
      </w:pPr>
      <w:r>
        <w:t xml:space="preserve">日期：2026年10月12日（北京时间）。本次目标是把已有分支、未提交/被忽略的本地结果及历史归档统一成一份最后的论文，不再开展一轮新模型训练或调度搜索。</w:t>
      </w:r>
    </w:p>
    <w:bookmarkStart w:id="20" w:name="最终判断"/>
    <w:p>
      <w:pPr>
        <w:pStyle w:val="Heading2"/>
      </w:pPr>
      <w:r>
        <w:t xml:space="preserve">1. 最终判断</w:t>
      </w:r>
    </w:p>
    <w:p>
      <w:pPr>
        <w:pStyle w:val="FirstParagraph"/>
      </w:pPr>
      <w:r>
        <w:t xml:space="preserve">论文应定位为</w:t>
      </w:r>
      <w:r>
        <w:rPr>
          <w:bCs/>
          <w:b/>
        </w:rPr>
        <w:t xml:space="preserve">几何条件多视图纹理生成中的控制分配受控实证研究</w:t>
      </w:r>
      <w:r>
        <w:t xml:space="preserve">。现有证据支持</w:t>
      </w:r>
      <w:r>
        <w:t xml:space="preserve">“</w:t>
      </w:r>
      <w:r>
        <w:t xml:space="preserve">强度和时间配置会改变输出，弱固定对照、评价区域、模型接口及烘焙端点会改变推荐</w:t>
      </w:r>
      <w:r>
        <w:t xml:space="preserve">”</w:t>
      </w:r>
      <w:r>
        <w:t xml:space="preserve">，不支持</w:t>
      </w:r>
      <w:r>
        <w:t xml:space="preserve">“</w:t>
      </w:r>
      <w:r>
        <w:t xml:space="preserve">C3中段高强度是一种优于合理固定、线性和其他分段配置的通用方法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最终英文题名采用：</w:t>
      </w:r>
    </w:p>
    <w:p>
      <w:pPr>
        <w:pStyle w:val="BodyText"/>
      </w:pPr>
      <w:r>
        <w:rPr>
          <w:bCs/>
          <w:b/>
        </w:rPr>
        <w:t xml:space="preserve">Geometry-Control Allocation in Multi-view Diffusion Texturing: A Controlled Empirical Study</w:t>
      </w:r>
    </w:p>
    <w:p>
      <w:pPr>
        <w:pStyle w:val="BodyText"/>
      </w:pPr>
      <w:r>
        <w:t xml:space="preserve">中文含义：</w:t>
      </w:r>
      <w:r>
        <w:rPr>
          <w:bCs/>
          <w:b/>
        </w:rPr>
        <w:t xml:space="preserve">多视图扩散纹理生成中的几何控制分配：一项受控实证研究</w:t>
      </w:r>
      <w:r>
        <w:t xml:space="preserve">。</w:t>
      </w:r>
    </w:p>
    <w:p>
      <w:pPr>
        <w:pStyle w:val="BodyText"/>
      </w:pPr>
      <w:r>
        <w:t xml:space="preserve">TCAS保留为研究干预，C3保留为历史候选，不给新的胜出配置重新命名成</w:t>
      </w:r>
      <w:r>
        <w:t xml:space="preserve">“</w:t>
      </w:r>
      <w:r>
        <w:t xml:space="preserve">方法</w:t>
      </w:r>
      <w:r>
        <w:t xml:space="preserve">”</w:t>
      </w:r>
      <w:r>
        <w:t xml:space="preserve">。CAI独立推导和最优性主张继续撤回，层×时间交互保持辅助证据。以第15版完整科学材料为基底，补回原主要检验、实际恢复的v2权重身份及今天已经完成但此前遗漏的新重训结果，同时公开新发现的加载器替换故障。</w:t>
      </w:r>
    </w:p>
    <w:p>
      <w:pPr>
        <w:pStyle w:val="BodyText"/>
      </w:pPr>
      <w:r>
        <w:t xml:space="preserve">这一方向可以继续作为C&amp;G修回，但论文和回复必须坦承：完整对照改变了最初的C3推荐。R2.1的贡献充分性仍是编辑判断，不能通过更多实验数量、较小p值或审计文件自动证明，也没有可靠的接收概率。</w:t>
      </w:r>
    </w:p>
    <w:bookmarkEnd w:id="20"/>
    <w:bookmarkStart w:id="23" w:name="核查范围及证据等级"/>
    <w:p>
      <w:pPr>
        <w:pStyle w:val="Heading2"/>
      </w:pPr>
      <w:r>
        <w:t xml:space="preserve">2. 核查范围及证据等级</w:t>
      </w:r>
    </w:p>
    <w:p>
      <w:pPr>
        <w:pStyle w:val="FirstParagraph"/>
      </w:pPr>
      <w:r>
        <w:t xml:space="preserve">实际核查了14个注册Git工作树，并扩展到本地历史归档、整合目录、恢复目录及项目实验资产目录，共27个目录根。忽略文件也被列入，不能用普通Git文件列表推断权重不存在。元信息清点有642,943个文件和195,272个指定科研后缀文件；</w:t>
      </w:r>
      <w:r>
        <w:rPr>
          <w:bCs/>
          <w:b/>
        </w:rPr>
        <w:t xml:space="preserve">包含备份副本，不是实验数，也不表示逐张查看了所有生成图像</w:t>
      </w:r>
      <w:r>
        <w:t xml:space="preserve">。完整目录、分支快照、错误记录和48个归档ref在</w:t>
      </w:r>
      <w:hyperlink r:id="rId21">
        <w:r>
          <w:rPr>
            <w:rStyle w:val="Hyperlink"/>
          </w:rPr>
          <w:t xml:space="preserve">范围快照</w:t>
        </w:r>
      </w:hyperlink>
      <w:r>
        <w:t xml:space="preserve">。</w:t>
      </w:r>
    </w:p>
    <w:p>
      <w:pPr>
        <w:pStyle w:val="BodyText"/>
      </w:pPr>
      <w:r>
        <w:t xml:space="preserve">依据实验类别、运行身份、队列、原始CSV、最终报告和已撤回的结果建立</w:t>
      </w:r>
      <w:hyperlink r:id="rId22">
        <w:r>
          <w:rPr>
            <w:rStyle w:val="Hyperlink"/>
          </w:rPr>
          <w:t xml:space="preserve">实验台账</w:t>
        </w:r>
      </w:hyperlink>
      <w:r>
        <w:t xml:space="preserve">。台账明确区分深入核验、报告核验和仅目录级线索；没有原始指标或只有smoke的尝试不会升级成已完成质量试验。全量文件清点、CSV副本分组与逐尝试报告随本包保留，避免以后把同一结果多次计数。</w:t>
      </w:r>
    </w:p>
    <w:p>
      <w:pPr>
        <w:pStyle w:val="BodyText"/>
      </w:pPr>
      <w:r>
        <w:t xml:space="preserve">证据的优先级是：实际运行输入/权重/源码/端点身份与原始配对行；可复算的冻结报告；带有完整限制的历史报告；未绑定身份的旧表或目录线索。新版本不自动覆盖旧版反证，旧版报告也不自动推翻后来完成的相机/掩模校正。代码身份检查、组件运行、质量评价、完整历史训练重放属于不同验证层级。</w:t>
      </w:r>
    </w:p>
    <w:p>
      <w:pPr>
        <w:pStyle w:val="BodyText"/>
      </w:pPr>
      <w:r>
        <w:t xml:space="preserve">本次只重算现存统计和组件检查，没有新训练、生成、烘焙、重评分图像，也没有移动、删除或合并已有分支/数据。</w:t>
      </w:r>
    </w:p>
    <w:bookmarkEnd w:id="23"/>
    <w:bookmarkStart w:id="24" w:name="当前分支及历史档案如何使用"/>
    <w:p>
      <w:pPr>
        <w:pStyle w:val="Heading2"/>
      </w:pPr>
      <w:r>
        <w:t xml:space="preserve">3. 当前分支及历史档案如何使用</w:t>
      </w:r>
    </w:p>
    <w:p>
      <w:pPr>
        <w:pStyle w:val="FirstParagraph"/>
      </w:pPr>
      <w:r>
        <w:t xml:space="preserve">实时私仓已是</w:t>
      </w:r>
      <w:r>
        <w:rPr>
          <w:bCs/>
          <w:b/>
        </w:rPr>
        <w:t xml:space="preserve">8个远端分支</w:t>
      </w:r>
      <w:r>
        <w:t xml:space="preserve">，不是粘贴分析时的7个。新增分支只交付论文包装，没有新的FAC质量结果。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p>
            <w:pPr>
              <w:pStyle w:val="Compact"/>
              <w:jc w:val="left"/>
            </w:pPr>
            <w:r>
              <w:t xml:space="preserve">核查时远端HEAD</w:t>
            </w:r>
          </w:p>
        </w:tc>
        <w:tc>
          <w:p>
            <w:pPr>
              <w:pStyle w:val="Compact"/>
              <w:jc w:val="left"/>
            </w:pPr>
            <w:r>
              <w:t xml:space="preserve">最终作用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2d035e9b</w:t>
            </w:r>
          </w:p>
        </w:tc>
        <w:tc>
          <w:p>
            <w:pPr>
              <w:pStyle w:val="Compact"/>
              <w:jc w:val="left"/>
            </w:pPr>
            <w:r>
              <w:t xml:space="preserve">历史代码、选择性整合、反证和文件去向索引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codex/cg-revision-20261010</w:t>
            </w:r>
          </w:p>
        </w:tc>
        <w:tc>
          <w:p>
            <w:pPr>
              <w:pStyle w:val="Compact"/>
              <w:jc w:val="left"/>
            </w:pPr>
            <w:r>
              <w:t xml:space="preserve">f35099f6</w:t>
            </w:r>
          </w:p>
        </w:tc>
        <w:tc>
          <w:p>
            <w:pPr>
              <w:pStyle w:val="Compact"/>
              <w:jc w:val="left"/>
            </w:pPr>
            <w:r>
              <w:t xml:space="preserve">第1—12轮研究过程；本地该工作树已到第15版，必须区分远端与本地HEAD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codex/cg-round014-empirical</w:t>
            </w:r>
          </w:p>
        </w:tc>
        <w:tc>
          <w:p>
            <w:pPr>
              <w:pStyle w:val="Compact"/>
              <w:jc w:val="left"/>
            </w:pPr>
            <w:r>
              <w:t xml:space="preserve">249f86d1</w:t>
            </w:r>
          </w:p>
        </w:tc>
        <w:tc>
          <w:p>
            <w:pPr>
              <w:pStyle w:val="Compact"/>
              <w:jc w:val="left"/>
            </w:pPr>
            <w:r>
              <w:t xml:space="preserve">完整实证候选及图表组织来源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codex/cg-round015-evidence-closure</w:t>
            </w:r>
          </w:p>
        </w:tc>
        <w:tc>
          <w:p>
            <w:pPr>
              <w:pStyle w:val="Compact"/>
              <w:jc w:val="left"/>
            </w:pPr>
            <w:r>
              <w:t xml:space="preserve">f310d3f7</w:t>
            </w:r>
          </w:p>
        </w:tc>
        <w:tc>
          <w:p>
            <w:pPr>
              <w:pStyle w:val="Compact"/>
              <w:jc w:val="left"/>
            </w:pPr>
            <w:r>
              <w:t xml:space="preserve">最终主文、补充、回复及复算基底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codex/1010-experiments</w:t>
            </w:r>
          </w:p>
        </w:tc>
        <w:tc>
          <w:p>
            <w:pPr>
              <w:pStyle w:val="Compact"/>
              <w:jc w:val="left"/>
            </w:pPr>
            <w:r>
              <w:t xml:space="preserve">d82e2fc8</w:t>
            </w:r>
          </w:p>
        </w:tc>
        <w:tc>
          <w:p>
            <w:pPr>
              <w:pStyle w:val="Compact"/>
              <w:jc w:val="left"/>
            </w:pPr>
            <w:r>
              <w:t xml:space="preserve">同预算、原生训练、相机校准、强基线、APG、真实烘焙；本地3ab4325d及未提交记录含更新材料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codex/paper-unified-20261010</w:t>
            </w:r>
          </w:p>
        </w:tc>
        <w:tc>
          <w:p>
            <w:pPr>
              <w:pStyle w:val="Compact"/>
              <w:jc w:val="left"/>
            </w:pPr>
            <w:r>
              <w:t xml:space="preserve">dc8c498d</w:t>
            </w:r>
          </w:p>
        </w:tc>
        <w:tc>
          <w:p>
            <w:pPr>
              <w:pStyle w:val="Compact"/>
              <w:jc w:val="left"/>
            </w:pPr>
            <w:r>
              <w:t xml:space="preserve">V3、CAI、交互及旧论文的科学审计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codex/next-review-response-20260930</w:t>
            </w:r>
          </w:p>
        </w:tc>
        <w:tc>
          <w:p>
            <w:pPr>
              <w:pStyle w:val="Compact"/>
              <w:jc w:val="left"/>
            </w:pPr>
            <w:r>
              <w:t xml:space="preserve">4f312566</w:t>
            </w:r>
          </w:p>
        </w:tc>
        <w:tc>
          <w:p>
            <w:pPr>
              <w:pStyle w:val="Compact"/>
              <w:jc w:val="left"/>
            </w:pPr>
            <w:r>
              <w:t xml:space="preserve">跨接口、旧checkpoint和历史主骨干材料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codex/paper-fac-bundle-20261012</w:t>
            </w:r>
          </w:p>
        </w:tc>
        <w:tc>
          <w:p>
            <w:pPr>
              <w:pStyle w:val="Compact"/>
              <w:jc w:val="left"/>
            </w:pPr>
            <w:r>
              <w:t xml:space="preserve">e1f54f91；恢复时已到7b362ae7</w:t>
            </w:r>
          </w:p>
        </w:tc>
        <w:tc>
          <w:p>
            <w:pPr>
              <w:pStyle w:val="Compact"/>
              <w:jc w:val="left"/>
            </w:pPr>
            <w:r>
              <w:t xml:space="preserve">保守论文包装、P0—P3笔记和历史论文/引用图归档；没有新FAC训练</w:t>
            </w:r>
          </w:p>
        </w:tc>
      </w:tr>
    </w:tbl>
    <w:p>
      <w:pPr>
        <w:pStyle w:val="BodyText"/>
      </w:pPr>
      <w:r>
        <w:t xml:space="preserve">历史28个本地分支没有简单消失：当前仍有48个归档ref保存本地分支、旧远端、WIP和工作树身份。2026年10月9/10日归档中有patch、未提交文件和退役工作树索引。最终材料按科学证据选择使用，没有整体合并所有历史分支，也没有把打包、正文迭代或备份当成新的独立研究。</w:t>
      </w:r>
    </w:p>
    <w:p>
      <w:pPr>
        <w:pStyle w:val="BodyText"/>
      </w:pPr>
      <w:r>
        <w:t xml:space="preserve">恢复继续工作时再次核查远端和关键结果目录：新增提交是论文/图像归档及已有P0—P3笔记，没有新增模型实验。笔记将</w:t>
      </w:r>
      <w:r>
        <w:rPr>
          <w:rStyle w:val="VerbatimChar"/>
        </w:rPr>
        <w:t xml:space="preserve">native_unset</w:t>
      </w:r>
      <w:r>
        <w:t xml:space="preserve">称为</w:t>
      </w:r>
      <w:r>
        <w:t xml:space="preserve">“</w:t>
      </w:r>
      <w:r>
        <w:t xml:space="preserve">真默认管线</w:t>
      </w:r>
      <w:r>
        <w:t xml:space="preserve">”</w:t>
      </w:r>
      <w:r>
        <w:t xml:space="preserve">，但它只是冻结采样协议中的未设置尺度残差分支，不能认证完整官方默认管线；某端点不利也不能推出所有端点都更差。P2的六行几何—参考负方向观察和暖色统计仅为开发描述，不能升格为唯一色偏因果机制。最终采用第15版经校正的完整对照，不继承笔记中的更强解释。</w:t>
      </w:r>
    </w:p>
    <w:bookmarkEnd w:id="24"/>
    <w:bookmarkStart w:id="25" w:name="队列关系不能把所有数字相加"/>
    <w:p>
      <w:pPr>
        <w:pStyle w:val="Heading2"/>
      </w:pPr>
      <w:r>
        <w:t xml:space="preserve">4. 队列关系：不能把所有数字相加</w:t>
      </w:r>
    </w:p>
    <w:p>
      <w:pPr>
        <w:pStyle w:val="FirstParagraph"/>
      </w:pPr>
      <w:r>
        <w:t xml:space="preserve">Fresh A的300对象承载A2、A3、B1/B2、B3及早期通用调度；这些是同队列不同干预。Fresh B有150对象，承载受限层×窗口及扩展比较。Fresh C有300对象，承载本稿主要四条件与1010同预算/线性addendum。直接核对三份UID列表，A、B、C两两不重合，但各组内部的多次实验不能重复算独立复制。</w:t>
      </w:r>
    </w:p>
    <w:p>
      <w:pPr>
        <w:pStyle w:val="BodyText"/>
      </w:pPr>
      <w:r>
        <w:t xml:space="preserve">Fresh C的300 UID与原测试池、其中24个选择对象、记录的1,118训练名单和clean-v2测试名单均不重合。它提供新队列上的冻结重训配对研究，不能认证原v1权重。</w:t>
      </w:r>
    </w:p>
    <w:p>
      <w:pPr>
        <w:pStyle w:val="BodyText"/>
      </w:pPr>
      <w:r>
        <w:t xml:space="preserve">MV-Adapter50使用Fresh C输入的新接口；GeoTex bake10是图像研究的兼容资产子集；GSO bake20是GSO100的子集。GSO的三seed与各研究的六/十一视角嵌套在对象内。它们扩大了接口或端点覆盖，不能相加成独立对象总体。原276请求名单来自已暴露的历史测试池，另有一次实际未知UID替换，独立性等级更低。</w:t>
      </w:r>
    </w:p>
    <w:bookmarkEnd w:id="25"/>
    <w:bookmarkStart w:id="26" w:name="决定论文结论的有效结果"/>
    <w:p>
      <w:pPr>
        <w:pStyle w:val="Heading2"/>
      </w:pPr>
      <w:r>
        <w:t xml:space="preserve">5. 决定论文结论的有效结果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问题与协议</w:t>
            </w:r>
          </w:p>
        </w:tc>
        <w:tc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p>
            <w:pPr>
              <w:pStyle w:val="Compact"/>
              <w:jc w:val="left"/>
            </w:pPr>
            <w:r>
              <w:t xml:space="preserve">可支持的结论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Fresh C原四条件：C3−Fixed Low</w:t>
            </w:r>
          </w:p>
        </w:tc>
        <w:tc>
          <w:p>
            <w:pPr>
              <w:pStyle w:val="Compact"/>
              <w:jc w:val="left"/>
            </w:pPr>
            <w:r>
              <w:t xml:space="preserve">FG-PSNR +0.522dB，原95%区间[+0.404,+0.641]</w:t>
            </w:r>
          </w:p>
        </w:tc>
        <w:tc>
          <w:p>
            <w:pPr>
              <w:pStyle w:val="Compact"/>
              <w:jc w:val="left"/>
            </w:pPr>
            <w:r>
              <w:t xml:space="preserve">相对低固定强度改善图像指标；同时改变预算与时间，不能归于中段机制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同预算原主要问题：Middle−mean(Early,Late)</w:t>
            </w:r>
          </w:p>
        </w:tc>
        <w:tc>
          <w:p>
            <w:pPr>
              <w:pStyle w:val="Compact"/>
              <w:jc w:val="left"/>
            </w:pPr>
            <w:r>
              <w:t xml:space="preserve">−0.033877dB，区间[−0.117170,+0.051422]，p=0.432378，119/300正</w:t>
            </w:r>
          </w:p>
        </w:tc>
        <w:tc>
          <w:p>
            <w:pPr>
              <w:pStyle w:val="Compact"/>
              <w:jc w:val="left"/>
            </w:pPr>
            <w:r>
              <w:t xml:space="preserve">不支持中段优先；不能把非检出说成等价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同预算Middle−Fixed Mean</w:t>
            </w:r>
          </w:p>
        </w:tc>
        <w:tc>
          <w:p>
            <w:pPr>
              <w:pStyle w:val="Compact"/>
              <w:jc w:val="left"/>
            </w:pPr>
            <w:r>
              <w:t xml:space="preserve">FG-PSNR −0.133dB，四主要图像端点均落后</w:t>
            </w:r>
          </w:p>
        </w:tc>
        <w:tc>
          <w:p>
            <w:pPr>
              <w:pStyle w:val="Compact"/>
              <w:jc w:val="left"/>
            </w:pPr>
            <w:r>
              <w:t xml:space="preserve">合理固定平均强度可胜过历史中段候选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同预算Middle−Late</w:t>
            </w:r>
          </w:p>
        </w:tc>
        <w:tc>
          <w:p>
            <w:pPr>
              <w:pStyle w:val="Compact"/>
              <w:jc w:val="left"/>
            </w:pPr>
            <w:r>
              <w:t xml:space="preserve">FG-PSNR −0.564dB，四端点均落后</w:t>
            </w:r>
          </w:p>
        </w:tc>
        <w:tc>
          <w:p>
            <w:pPr>
              <w:pStyle w:val="Compact"/>
              <w:jc w:val="left"/>
            </w:pPr>
            <w:r>
              <w:t xml:space="preserve">时间分配有效应，但没有支持中段默认推荐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Fresh C强固定/线性</w:t>
            </w:r>
          </w:p>
        </w:tc>
        <w:tc>
          <w:p>
            <w:pPr>
              <w:pStyle w:val="Compact"/>
              <w:jc w:val="left"/>
            </w:pPr>
            <w:r>
              <w:t xml:space="preserve">C3−Fixed High约−0.748dB；C3−Linear约−0.593dB；四端点均值都不利</w:t>
            </w:r>
          </w:p>
        </w:tc>
        <w:tc>
          <w:p>
            <w:pPr>
              <w:pStyle w:val="Compact"/>
              <w:jc w:val="left"/>
            </w:pPr>
            <w:r>
              <w:t xml:space="preserve">必须纳入竞争性基线；线性总预算/层配置不同，不能当纯时间对照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 MV-Adapter50</w:t>
            </w:r>
          </w:p>
        </w:tc>
        <w:tc>
          <w:p>
            <w:pPr>
              <w:pStyle w:val="Compact"/>
              <w:jc w:val="left"/>
            </w:pPr>
            <w:r>
              <w:t xml:space="preserve">Middle−Mean +0.029dB，区间[−0.019,+0.081]，p≈0.281</w:t>
            </w:r>
          </w:p>
        </w:tc>
        <w:tc>
          <w:p>
            <w:pPr>
              <w:pStyle w:val="Compact"/>
              <w:jc w:val="left"/>
            </w:pPr>
            <w:r>
              <w:t xml:space="preserve">未检出中段主优势；保留13个合法白色目标，37个纹理对象仅敏感性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GSO100 native MV-Adapter，三seed</w:t>
            </w:r>
          </w:p>
        </w:tc>
        <w:tc>
          <w:p>
            <w:pPr>
              <w:pStyle w:val="Compact"/>
              <w:jc w:val="left"/>
            </w:pPr>
            <w:r>
              <w:t xml:space="preserve">Middle−Mean −0.014dB，区间[−0.031,+0.004]，p≈0.122</w:t>
            </w:r>
          </w:p>
        </w:tc>
        <w:tc>
          <w:p>
            <w:pPr>
              <w:pStyle w:val="Compact"/>
              <w:jc w:val="left"/>
            </w:pPr>
            <w:r>
              <w:t xml:space="preserve">未检出中段主优势；是已暴露便利队列的外部敏感性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GSO100 Late−Mean</w:t>
            </w:r>
          </w:p>
        </w:tc>
        <w:tc>
          <w:p>
            <w:pPr>
              <w:pStyle w:val="Compact"/>
              <w:jc w:val="left"/>
            </w:pPr>
            <w:r>
              <w:t xml:space="preserve">六视角PSNR +0.045dB，但非参考LPIPS不检出</w:t>
            </w:r>
          </w:p>
        </w:tc>
        <w:tc>
          <w:p>
            <w:pPr>
              <w:pStyle w:val="Compact"/>
              <w:jc w:val="left"/>
            </w:pPr>
            <w:r>
              <w:t xml:space="preserve">小的端点特定变化，不是普遍外观收益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GeoTex bake10，11未见视角</w:t>
            </w:r>
          </w:p>
        </w:tc>
        <w:tc>
          <w:p>
            <w:pPr>
              <w:pStyle w:val="Compact"/>
              <w:jc w:val="left"/>
            </w:pPr>
            <w:r>
              <w:t xml:space="preserve">Late−Mean LPIPS −0.002652，区间[−0.004144,−0.001367]，精确p=0.001953，10/10有利</w:t>
            </w:r>
          </w:p>
        </w:tc>
        <w:tc>
          <w:p>
            <w:pPr>
              <w:pStyle w:val="Compact"/>
              <w:jc w:val="left"/>
            </w:pPr>
            <w:r>
              <w:t xml:space="preserve">当前技术兼容协议下的小局部收益，不能推荐所有资产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GSO bake20，三seed</w:t>
            </w:r>
          </w:p>
        </w:tc>
        <w:tc>
          <w:p>
            <w:pPr>
              <w:pStyle w:val="Compact"/>
              <w:jc w:val="left"/>
            </w:pPr>
            <w:r>
              <w:t xml:space="preserve">Late−Mean LPIPS +0.000084，区间[−0.000103,+0.000286]</w:t>
            </w:r>
          </w:p>
        </w:tc>
        <w:tc>
          <w:p>
            <w:pPr>
              <w:pStyle w:val="Compact"/>
              <w:jc w:val="left"/>
            </w:pPr>
            <w:r>
              <w:t xml:space="preserve">在另协议未检出同样收益；不证明等价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Reference-protocol50新权重</w:t>
            </w:r>
          </w:p>
        </w:tc>
        <w:tc>
          <w:p>
            <w:pPr>
              <w:pStyle w:val="Compact"/>
              <w:jc w:val="left"/>
            </w:pPr>
            <w:r>
              <w:t xml:space="preserve">Late−Mean非参考PSNR −1.184dB；LPIPS差异不检出</w:t>
            </w:r>
          </w:p>
        </w:tc>
        <w:tc>
          <w:p>
            <w:pPr>
              <w:pStyle w:val="Compact"/>
              <w:jc w:val="left"/>
            </w:pPr>
            <w:r>
              <w:t xml:space="preserve">同一大架构家族内改变协议/权重也会改变方向</w:t>
            </w:r>
          </w:p>
        </w:tc>
      </w:tr>
    </w:tbl>
    <w:p>
      <w:pPr>
        <w:pStyle w:val="BodyText"/>
      </w:pPr>
      <w:r>
        <w:t xml:space="preserve">原主要Middle−早晚平均检验此前在1010报告里存在，却不在第15版正文或补充里明确展示。本次恢复到摘要、正文、补充和R2回复，按原seed和原10,000/20,000次抽样</w:t>
      </w:r>
      <w:r>
        <w:rPr>
          <w:bCs/>
          <w:b/>
        </w:rPr>
        <w:t xml:space="preserve">逐项重现300个差值、区间和p</w:t>
      </w:r>
      <w:r>
        <w:t xml:space="preserve">。保留原12项次要Holm族；后来59项描述性族不冒充原预设主问题，也不覆盖原结果。</w:t>
      </w:r>
    </w:p>
    <w:p>
      <w:pPr>
        <w:pStyle w:val="BodyText"/>
      </w:pPr>
      <w:r>
        <w:t xml:space="preserve">Fresh C四端点点估计的270/300</w:t>
      </w:r>
      <w:r>
        <w:t xml:space="preserve">“</w:t>
      </w:r>
      <w:r>
        <w:t xml:space="preserve">被至少一种控制支配</w:t>
      </w:r>
      <w:r>
        <w:t xml:space="preserve">”</w:t>
      </w:r>
      <w:r>
        <w:t xml:space="preserve">是后见描述，不是每对象显著劣势或材料失败率。Fixed High单独支配173对象，C3反向支配16对象；155/300对象C3的PSNR可优于Linear，但少数大损失使均值不利。这些分布同时保留，不只选一个方便的均值/胜率。</w:t>
      </w:r>
    </w:p>
    <w:p>
      <w:pPr>
        <w:pStyle w:val="BodyText"/>
      </w:pPr>
      <w:r>
        <w:t xml:space="preserve">三seed结果还限制了逐对象推荐：GSO100末段PSNR三seed队列均值均正，但仅27/100对象全seed有利；非参考LPIPS的第三seed均值方向反转。GSO20烘焙仅1/20对象全seed有利。固定seed敏感性不能估计训练checkpoint随机性。</w:t>
      </w:r>
    </w:p>
    <w:bookmarkEnd w:id="26"/>
    <w:bookmarkStart w:id="27" w:name="今天完成的新276请求重训为什么没有逆转总裁决"/>
    <w:p>
      <w:pPr>
        <w:pStyle w:val="Heading2"/>
      </w:pPr>
      <w:r>
        <w:t xml:space="preserve">6. 今天完成的新276请求重训：为什么没有逆转总裁决</w:t>
      </w:r>
    </w:p>
    <w:p>
      <w:pPr>
        <w:pStyle w:val="FirstParagraph"/>
      </w:pPr>
      <w:r>
        <w:t xml:space="preserve">此前分析只看到远端，遗漏了本地今天完成的</w:t>
      </w:r>
      <w:r>
        <w:rPr>
          <w:rStyle w:val="VerbatimChar"/>
        </w:rPr>
        <w:t xml:space="preserve">main_adapter_original276_leaveout_20261012</w:t>
      </w:r>
      <w:r>
        <w:t xml:space="preserve">。它删除了记录的train1118与原276请求列表的79个交集，保留1039训练UID；请求列表确为原test300的第24—299项，新训练2000步、seed20261012，checkpoint SHA实际与manifest一致。</w:t>
      </w:r>
    </w:p>
    <w:p>
      <w:pPr>
        <w:pStyle w:val="BodyText"/>
      </w:pPr>
      <w:r>
        <w:rPr>
          <w:bCs/>
          <w:b/>
        </w:rPr>
        <w:t xml:space="preserve">但不能宣称原276严格验证已完成。</w:t>
      </w:r>
      <w:r>
        <w:t xml:space="preserve"> </w:t>
      </w:r>
      <w:r>
        <w:t xml:space="preserve">日志LF物理行623—624记录请求索引46、UID</w:t>
      </w:r>
      <w:r>
        <w:t xml:space="preserve"> </w:t>
      </w:r>
      <w:r>
        <w:rPr>
          <w:rStyle w:val="VerbatimChar"/>
        </w:rPr>
        <w:t xml:space="preserve">f7ef602b19214debb0b350db9af55ff2</w:t>
      </w:r>
      <w:r>
        <w:t xml:space="preserve"> </w:t>
      </w:r>
      <w:r>
        <w:t xml:space="preserve">的空输入错误；加载器随机改用另一输入，未记录实际UID，仍写</w:t>
      </w:r>
      <w:r>
        <w:rPr>
          <w:rStyle w:val="VerbatimChar"/>
        </w:rPr>
        <w:t xml:space="preserve">obj_0046</w:t>
      </w:r>
      <w:r>
        <w:t xml:space="preserve">。因此1104行是276请求槽位×4条件，不是经认证的276个不同原对象；替换还可能造成重复对象。该结果不提供精确实际覆盖/独立对象总体推断，不能完成原v1身份闭环。删除已知故障槽位只是技术敏感性，不是把它重新宣布为确认集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C3−Fixed High</w:t>
            </w:r>
          </w:p>
        </w:tc>
        <w:tc>
          <w:p>
            <w:pPr>
              <w:pStyle w:val="Compact"/>
              <w:jc w:val="right"/>
            </w:pPr>
            <w:r>
              <w:t xml:space="preserve">全276请求槽位均值</w:t>
            </w:r>
          </w:p>
        </w:tc>
        <w:tc>
          <w:p>
            <w:pPr>
              <w:pStyle w:val="Compact"/>
              <w:jc w:val="right"/>
            </w:pPr>
            <w:r>
              <w:t xml:space="preserve">剔除故障槽位后275请求槽位均值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原始全图PSNR</w:t>
            </w:r>
          </w:p>
        </w:tc>
        <w:tc>
          <w:p>
            <w:pPr>
              <w:pStyle w:val="Compact"/>
              <w:jc w:val="right"/>
            </w:pPr>
            <w:r>
              <w:t xml:space="preserve">+1.69908dB</w:t>
            </w:r>
          </w:p>
        </w:tc>
        <w:tc>
          <w:p>
            <w:pPr>
              <w:pStyle w:val="Compact"/>
              <w:jc w:val="right"/>
            </w:pPr>
            <w:r>
              <w:t xml:space="preserve">+1.69653dB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前景PSNR</w:t>
            </w:r>
          </w:p>
        </w:tc>
        <w:tc>
          <w:p>
            <w:pPr>
              <w:pStyle w:val="Compact"/>
              <w:jc w:val="right"/>
            </w:pPr>
            <w:r>
              <w:t xml:space="preserve">−1.31354dB</w:t>
            </w:r>
          </w:p>
        </w:tc>
        <w:tc>
          <w:p>
            <w:pPr>
              <w:pStyle w:val="Compact"/>
              <w:jc w:val="right"/>
            </w:pPr>
            <w:r>
              <w:t xml:space="preserve">−1.31105dB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前景LPIPS，越低越好</w:t>
            </w:r>
          </w:p>
        </w:tc>
        <w:tc>
          <w:p>
            <w:pPr>
              <w:pStyle w:val="Compact"/>
              <w:jc w:val="right"/>
            </w:pPr>
            <w:r>
              <w:t xml:space="preserve">+0.011271</w:t>
            </w:r>
          </w:p>
        </w:tc>
        <w:tc>
          <w:p>
            <w:pPr>
              <w:pStyle w:val="Compact"/>
              <w:jc w:val="right"/>
            </w:pPr>
            <w:r>
              <w:t xml:space="preserve">+0.011272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前景SSIM</w:t>
            </w:r>
          </w:p>
        </w:tc>
        <w:tc>
          <w:p>
            <w:pPr>
              <w:pStyle w:val="Compact"/>
              <w:jc w:val="right"/>
            </w:pPr>
            <w:r>
              <w:t xml:space="preserve">−0.059606</w:t>
            </w:r>
          </w:p>
        </w:tc>
        <w:tc>
          <w:p>
            <w:pPr>
              <w:pStyle w:val="Compact"/>
              <w:jc w:val="right"/>
            </w:pPr>
            <w:r>
              <w:t xml:space="preserve">−0.059594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Edge-SSIM</w:t>
            </w:r>
          </w:p>
        </w:tc>
        <w:tc>
          <w:p>
            <w:pPr>
              <w:pStyle w:val="Compact"/>
              <w:jc w:val="right"/>
            </w:pPr>
            <w:r>
              <w:t xml:space="preserve">−0.027775</w:t>
            </w:r>
          </w:p>
        </w:tc>
        <w:tc>
          <w:p>
            <w:pPr>
              <w:pStyle w:val="Compact"/>
              <w:jc w:val="right"/>
            </w:pPr>
            <w:r>
              <w:t xml:space="preserve">−0.027706</w:t>
            </w:r>
          </w:p>
        </w:tc>
      </w:tr>
    </w:tbl>
    <w:p>
      <w:pPr>
        <w:pStyle w:val="BodyText"/>
      </w:pPr>
      <w:r>
        <w:t xml:space="preserve">同一批输出，全图PSNR正增益与前景明显劣势并存；白背景归一化PSNR也回到前景不利方向。六视角先排成3×2网格，再按整网格像素MSE计算PSNR，不是六个视角PSNR的简单平均。前景LPIPS同样是掩模后的网格指标。不能从这组新权重的现象推断旧+0.96dB必然由背景造成，因为原旧端点身份仍未复原。</w:t>
      </w:r>
    </w:p>
    <w:p>
      <w:pPr>
        <w:pStyle w:val="BodyText"/>
      </w:pPr>
      <w:r>
        <w:t xml:space="preserve">这组证据最终进入正文独立技术敏感性小节和补充S7，全保留正反端点、10,000次槽位bootstrap诊断、24项后见Holm族、275排除敏感性、失败日志与复算脚本。它没有Fixed Mean、早/晚移动窗口或Linear，不能判断纯时间效果。</w:t>
      </w:r>
    </w:p>
    <w:bookmarkEnd w:id="27"/>
    <w:bookmarkStart w:id="33" w:name="全部尝试如何处置"/>
    <w:p>
      <w:pPr>
        <w:pStyle w:val="Heading2"/>
      </w:pPr>
      <w:r>
        <w:t xml:space="preserve">7. 全部尝试如何处置</w:t>
      </w:r>
    </w:p>
    <w:bookmarkStart w:id="28" w:name="历史固定层级分段重训与fac"/>
    <w:p>
      <w:pPr>
        <w:pStyle w:val="Heading3"/>
      </w:pPr>
      <w:r>
        <w:t xml:space="preserve">历史固定/层级/分段、重训与FAC</w:t>
      </w:r>
    </w:p>
    <w:p>
      <w:pPr>
        <w:pStyle w:val="FirstParagraph"/>
      </w:pPr>
      <w:r>
        <w:t xml:space="preserve">旧24对象探针、17候选、尺度扫描、top2、300对象通用调度、strict276、stage ablation、cap ablation、norm控制和SNR诊断保留在逐尝试台账。原主表v1身份不完整，不能拿历史排序作当前最优证明。</w:t>
      </w:r>
    </w:p>
    <w:p>
      <w:pPr>
        <w:pStyle w:val="BodyText"/>
      </w:pPr>
      <w:r>
        <w:t xml:space="preserve">v2、v3 anticollapse、v4 sweetspot、v5 faithful/sweetspot及smoke/quick/ext目录不等于每条都有完整质量研究。部分只有训练配置、checkpoint、探针或失败日志。v3还存在NaN更新跳过；不把训练结束或文件存在等同成功。已做过的训练路径不再作为</w:t>
      </w:r>
      <w:r>
        <w:t xml:space="preserve">“</w:t>
      </w:r>
      <w:r>
        <w:t xml:space="preserve">尚未尝试的下一步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FAC有多个入口与v3/v4/v5变体、冻结/约束/保真权重/gentle等尝试。原报告七个配置都落后于TCAS，但历史1706与恢复配置1200对象、seed、checkpoint、执行CLI和逐表绑定不闭合。84文件源码恢复、三个唯一CPUfixture支持组件检查；不能证明完整训练复现，更不能由FAC失败反推出TCAS机制正确。</w:t>
      </w:r>
    </w:p>
    <w:bookmarkEnd w:id="28"/>
    <w:bookmarkStart w:id="29" w:name="a2a3a3b剂量控制和自适应候选"/>
    <w:p>
      <w:pPr>
        <w:pStyle w:val="Heading3"/>
      </w:pPr>
      <w:r>
        <w:t xml:space="preserve">A2/A3/A3b、剂量控制和自适应候选</w:t>
      </w:r>
    </w:p>
    <w:p>
      <w:pPr>
        <w:pStyle w:val="FirstParagraph"/>
      </w:pPr>
      <w:r>
        <w:t xml:space="preserve">A2为探索；A3是同队列高剂量压力测试；A3b/Fresh B是受控响应异质性，但冻结时序没有完整认证。层×窗口统计显著不等于剂量独立机制或实用性。不同层的特征维度不同、通道数缺失，旧raw-L2 common-support和0/2250论据已经撤回，最终不再拿它作有效反证。</w:t>
      </w:r>
    </w:p>
    <w:p>
      <w:pPr>
        <w:pStyle w:val="BodyText"/>
      </w:pPr>
      <w:r>
        <w:t xml:space="preserve">早期exact-budget、cap accounting、stage-boundary、静态2×2三seed、E5 dose feasibility、E6 cap calibration，以及后续条件交互、参考/几何分支干预和投影候选均见台账。未注册恢复目录还保存24对象TRB/TRB2开发试验：TRB相对C3的LPIPS变差；预算修正后的TRB2差异未检出，且额外校准增加开销，promotion失败、276验证未启动。实现、预算或输入检查的成功与质量验证的失败分开记录。不把交互图或某个亚组结果升级成新的自动选择方法。</w:t>
      </w:r>
    </w:p>
    <w:bookmarkEnd w:id="29"/>
    <w:bookmarkStart w:id="30" w:name="原生管线强底座成本与apg"/>
    <w:p>
      <w:pPr>
        <w:pStyle w:val="Heading3"/>
      </w:pPr>
      <w:r>
        <w:t xml:space="preserve">原生管线、强底座、成本与APG</w:t>
      </w:r>
    </w:p>
    <w:p>
      <w:pPr>
        <w:pStyle w:val="FirstParagraph"/>
      </w:pPr>
      <w:r>
        <w:t xml:space="preserve">第1—7轮的default、guidance/embedding、分辨率、相机、几何/编码分支诊断已实跑。显式1.0受到shallow cap，不能写成完整未修改管线；小尺度上看似</w:t>
      </w:r>
      <w:r>
        <w:t xml:space="preserve">“</w:t>
      </w:r>
      <w:r>
        <w:t xml:space="preserve">native</w:t>
      </w:r>
      <w:r>
        <w:t xml:space="preserve">”</w:t>
      </w:r>
      <w:r>
        <w:t xml:space="preserve">的标签也不自动认证官方管线。</w:t>
      </w:r>
    </w:p>
    <w:p>
      <w:pPr>
        <w:pStyle w:val="BodyText"/>
      </w:pPr>
      <w:r>
        <w:t xml:space="preserve">第8—10轮已完成新的native条件训练、2000步checkpoint、50对象八条件以及完整v29强底座。几何模块对关闭条件可有LPIPS收益，但完整v29仍更好；不同底座/架构不能把成本或质量差归于TCAS。</w:t>
      </w:r>
    </w:p>
    <w:p>
      <w:pPr>
        <w:pStyle w:val="BodyText"/>
      </w:pPr>
      <w:r>
        <w:t xml:space="preserve">第11轮两GPU暖机计时显示小几何模块较快、峰值显存约13.18GiB对14.89GiB，同时LPIPS约0.0934对0.0775、SSIM约0.6404对0.6937。这是质量与成本权衡，不是调度的创新或优势。</w:t>
      </w:r>
    </w:p>
    <w:p>
      <w:pPr>
        <w:pStyle w:val="BodyText"/>
      </w:pPr>
      <w:r>
        <w:t xml:space="preserve">第12—13轮投影/APG、GSO100十二条件三seed及非参考视角检查没有建立稳定普遍胜出。Hunyuan准备/ControlNet资产兼容、Wonder3D尝试及SF3D历史29/298输出保留为各自范围的记录；与本稿几何残差干预不是一个算子，缺少对应合法协议时不加入主质量排行榜。</w:t>
      </w:r>
    </w:p>
    <w:bookmarkEnd w:id="30"/>
    <w:bookmarkStart w:id="31" w:name="色偏实际烘焙与校准失败"/>
    <w:p>
      <w:pPr>
        <w:pStyle w:val="Heading3"/>
      </w:pPr>
      <w:r>
        <w:t xml:space="preserve">色偏、实际烘焙与校准失败</w:t>
      </w:r>
    </w:p>
    <w:p>
      <w:pPr>
        <w:pStyle w:val="FirstParagraph"/>
      </w:pPr>
      <w:r>
        <w:t xml:space="preserve">颜色错误在生成前端已经出现。C1人工图像检查失败，存在残余失配和青蓝边；B2开发对象仅1/4改善色差，未过门槛。不会把这类补丁写进最终方法。26对象颜色诊断是失败富集描述；旧92%失败率和</w:t>
      </w:r>
      <w:r>
        <w:t xml:space="preserve">“</w:t>
      </w:r>
      <w:r>
        <w:t xml:space="preserve">真实shape gain</w:t>
      </w:r>
      <w:r>
        <w:t xml:space="preserve">”</w:t>
      </w:r>
      <w:r>
        <w:t xml:space="preserve">分类撤回。</w:t>
      </w:r>
    </w:p>
    <w:p>
      <w:pPr>
        <w:pStyle w:val="BodyText"/>
      </w:pPr>
      <w:r>
        <w:t xml:space="preserve">旧MV-Adapter7的相机不一致使质量值失效；新native50校准结果替代旧质量结论，原18图身份检查另保留。旧bake5存在pole掩模旋转与REPEAT插值错误；校正记录与native10分开，不把旧</w:t>
      </w:r>
      <w:r>
        <w:t xml:space="preserve">“</w:t>
      </w:r>
      <w:r>
        <w:t xml:space="preserve">收益</w:t>
      </w:r>
      <w:r>
        <w:t xml:space="preserve">”</w:t>
      </w:r>
      <w:r>
        <w:t xml:space="preserve">重复使用。早期CPU/GLB-native20也单独保留，不与新的GeoTex10或GSO20合并。</w:t>
      </w:r>
    </w:p>
    <w:p>
      <w:pPr>
        <w:pStyle w:val="BodyText"/>
      </w:pPr>
      <w:r>
        <w:t xml:space="preserve">GSO20旧UV-ramp门槛失败、十五对象结果之后的后见校准、375原GLB重放一致、740条bake记录、8,140条未见视角记录等必须保留；视角不是独立对象。世界坐标颜色控制能验证特定投影过程，不能证明接缝无伪影。Shared-UV incoming disagreement的80值重放和已知颜色控制通过；相同黑色输入也可零方差，证明一致性不等于保真。</w:t>
      </w:r>
    </w:p>
    <w:bookmarkEnd w:id="31"/>
    <w:bookmarkStart w:id="32" w:name="两类人类研究"/>
    <w:p>
      <w:pPr>
        <w:pStyle w:val="Heading3"/>
      </w:pPr>
      <w:r>
        <w:t xml:space="preserve">两类人类研究</w:t>
      </w:r>
    </w:p>
    <w:p>
      <w:pPr>
        <w:pStyle w:val="FirstParagraph"/>
      </w:pPr>
      <w:r>
        <w:t xml:space="preserve">用户本地原3AFC CSV可读：24受试者×30对象×3问题，共2160行，无participant/object/criterion重复。Overall的C3为418/720=58.06%；texture的低固定为332/720，C3为284/720；shape的高固定为331/720，C3为293/720。因此原总体偏好不能写成纹理或结构全面优胜，也不能迁移到新权重/新烘焙。</w:t>
      </w:r>
    </w:p>
    <w:p>
      <w:pPr>
        <w:pStyle w:val="BodyText"/>
      </w:pPr>
      <w:r>
        <w:t xml:space="preserve">另一个40 slots、37有效受试者、24对象、4比较×2问题的人类面板，8项点估计方向有利但无Holm显著结果；随机分配、左右/问序、stimulus hash及伦理/consent闭环存在缺口。它不作为新确认性人类证据。本包不重新分发participant级数据。</w:t>
      </w:r>
    </w:p>
    <w:bookmarkEnd w:id="32"/>
    <w:bookmarkEnd w:id="33"/>
    <w:bookmarkStart w:id="35" w:name="已恢复的权重与仍未闭合的历史身份"/>
    <w:p>
      <w:pPr>
        <w:pStyle w:val="Heading2"/>
      </w:pPr>
      <w:r>
        <w:t xml:space="preserve">8. 已恢复的权重与仍未闭合的历史身份</w:t>
      </w:r>
    </w:p>
    <w:p>
      <w:pPr>
        <w:pStyle w:val="FirstParagraph"/>
      </w:pPr>
      <w:r>
        <w:t xml:space="preserve">旧v2 EMA在备份目录、原mvpoutput与share_kit三处实读到。</w:t>
      </w:r>
    </w:p>
    <w:p>
      <w:pPr>
        <w:pStyle w:val="BodyText"/>
      </w:pPr>
      <w:r>
        <w:t xml:space="preserve">三份的MD5均为：</w:t>
      </w:r>
      <w:r>
        <w:rPr>
          <w:rStyle w:val="VerbatimChar"/>
        </w:rPr>
        <w:t xml:space="preserve">a74cc1d16cb473a95022bdcbc58e1b22</w:t>
      </w:r>
      <w:r>
        <w:t xml:space="preserve">。</w:t>
      </w:r>
    </w:p>
    <w:p>
      <w:pPr>
        <w:pStyle w:val="BodyText"/>
      </w:pPr>
      <w:r>
        <w:t xml:space="preserve">这修正了</w:t>
      </w:r>
      <w:r>
        <w:t xml:space="preserve">“</w:t>
      </w:r>
      <w:r>
        <w:t xml:space="preserve">只找到README</w:t>
      </w:r>
      <w:r>
        <w:t xml:space="preserve">”</w:t>
      </w:r>
      <w:r>
        <w:t xml:space="preserve">的判断。三份是同一模型副本，不是三套独立模型。</w:t>
      </w:r>
    </w:p>
    <w:p>
      <w:pPr>
        <w:pStyle w:val="BodyText"/>
      </w:pPr>
      <w:r>
        <w:t xml:space="preserve">原01549主表指向</w:t>
      </w:r>
      <w:r>
        <w:rPr>
          <w:rStyle w:val="VerbatimChar"/>
        </w:rPr>
        <w:t xml:space="preserve">geotex_refattn_v1/geotex_step_0002000.pt</w:t>
      </w:r>
      <w:r>
        <w:t xml:space="preserve">，并非v2。全现存工作树未发现可绑定该旧主表的原文件；没有原hash、完整runner/hook/cap/端点链，当前同名step2000文件都是新重训。到此结束原身份追溯，不用重新训练冒充恢复。</w:t>
      </w:r>
    </w:p>
    <w:p>
      <w:pPr>
        <w:pStyle w:val="BodyText"/>
      </w:pPr>
      <w:r>
        <w:t xml:space="preserve">最终状态是：</w:t>
      </w:r>
      <w:r>
        <w:rPr>
          <w:bCs/>
          <w:b/>
        </w:rPr>
        <w:t xml:space="preserve">旧v2文件身份已恢复；原v1主表未认证；新276请求重训有真实替换，不能关闭精确原队列验证。</w:t>
      </w:r>
      <w:r>
        <w:t xml:space="preserve"> </w:t>
      </w:r>
      <w:r>
        <w:t xml:space="preserve">完整裁决见</w:t>
      </w:r>
      <w:hyperlink r:id="rId34">
        <w:r>
          <w:rPr>
            <w:rStyle w:val="Hyperlink"/>
          </w:rPr>
          <w:t xml:space="preserve">权重身份报告</w:t>
        </w:r>
      </w:hyperlink>
      <w:r>
        <w:t xml:space="preserve">。</w:t>
      </w:r>
    </w:p>
    <w:bookmarkEnd w:id="35"/>
    <w:bookmarkStart w:id="40" w:name="三项可辩护贡献与不应再提出的主张"/>
    <w:p>
      <w:pPr>
        <w:pStyle w:val="Heading2"/>
      </w:pPr>
      <w:r>
        <w:t xml:space="preserve">9. 三项可辩护贡献与不应再提出的主张</w:t>
      </w:r>
    </w:p>
    <w:p>
      <w:pPr>
        <w:numPr>
          <w:ilvl w:val="0"/>
          <w:numId w:val="1001"/>
        </w:numPr>
        <w:pStyle w:val="Compact"/>
      </w:pPr>
      <w:r>
        <w:t xml:space="preserve">在冻结GeoTex协议中，以强固定/线性及等每层应用预算对照，分离弱对照解释，明确历史中段推荐没有获得主要检验和竞争对照支持。</w:t>
      </w:r>
    </w:p>
    <w:p>
      <w:pPr>
        <w:numPr>
          <w:ilvl w:val="0"/>
          <w:numId w:val="1001"/>
        </w:numPr>
        <w:pStyle w:val="Compact"/>
      </w:pPr>
      <w:r>
        <w:t xml:space="preserve">在真实纹理网格、GT同分辨自烘焙和未见视角上，量化小局部收益与外部不检出；同时把图像区域、颜色和材料保真区别清楚。</w:t>
      </w:r>
    </w:p>
    <w:p>
      <w:pPr>
        <w:numPr>
          <w:ilvl w:val="0"/>
          <w:numId w:val="1001"/>
        </w:numPr>
        <w:pStyle w:val="Compact"/>
      </w:pPr>
      <w:r>
        <w:t xml:space="preserve">原生不同接口、同家族协议敏感性和固定seed重复性提供应用边界；对象平均效应不能保证逐对象稳定收益。</w:t>
      </w:r>
    </w:p>
    <w:p>
      <w:pPr>
        <w:pStyle w:val="FirstParagraph"/>
      </w:pPr>
      <w:r>
        <w:t xml:space="preserve">这些是有界实证知识。现成尺度接口、三阶段函数、免训练、CAI、raw-L2、统计显著性、更多checkpoint和文档本身不独立构成新方法。</w:t>
      </w:r>
    </w:p>
    <w:p>
      <w:pPr>
        <w:pStyle w:val="BodyText"/>
      </w:pPr>
      <w:r>
        <w:t xml:space="preserve">SSI已经同时研究层/时间调度和ControlNet几何条件，ControlNet的2023固定代码有层加权，Diffusers v0.21.0有时间门控。最终相关工作直接承认，补入必要原始引用。</w:t>
      </w:r>
      <w:hyperlink r:id="rId36">
        <w:r>
          <w:rPr>
            <w:rStyle w:val="Hyperlink"/>
          </w:rPr>
          <w:t xml:space="preserve">SSI官方论文</w:t>
        </w:r>
      </w:hyperlink>
      <w:r>
        <w:t xml:space="preserve">、</w:t>
      </w:r>
      <w:hyperlink r:id="rId37">
        <w:r>
          <w:rPr>
            <w:rStyle w:val="Hyperlink"/>
          </w:rPr>
          <w:t xml:space="preserve">ControlNet固定代码</w:t>
        </w:r>
      </w:hyperlink>
      <w:r>
        <w:t xml:space="preserve">、</w:t>
      </w:r>
      <w:hyperlink r:id="rId38">
        <w:r>
          <w:rPr>
            <w:rStyle w:val="Hyperlink"/>
          </w:rPr>
          <w:t xml:space="preserve">Diffusers固定版本文档</w:t>
        </w:r>
      </w:hyperlink>
      <w:r>
        <w:t xml:space="preserve">。Paint3D错误标题已按</w:t>
      </w:r>
      <w:hyperlink r:id="rId39">
        <w:r>
          <w:rPr>
            <w:rStyle w:val="Hyperlink"/>
          </w:rPr>
          <w:t xml:space="preserve">官方论文</w:t>
        </w:r>
      </w:hyperlink>
      <w:r>
        <w:t xml:space="preserve">更正；Adaptive Guidance明确为推理效率调度。</w:t>
      </w:r>
    </w:p>
    <w:bookmarkEnd w:id="40"/>
    <w:bookmarkStart w:id="41" w:name="最终稿回复和验收"/>
    <w:p>
      <w:pPr>
        <w:pStyle w:val="Heading2"/>
      </w:pPr>
      <w:r>
        <w:t xml:space="preserve">10. 最终稿、回复和验收</w:t>
      </w:r>
    </w:p>
    <w:p>
      <w:pPr>
        <w:pStyle w:val="FirstParagraph"/>
      </w:pPr>
      <w:r>
        <w:t xml:space="preserve">正文以控制问题与证据为主线：研究设计与真实应用尺度；原同预算主要检验及强竞争对照；原276请求技术敏感性；完整对象/颜色失败；GeoTex10与GSO20实际烘焙；native接口与重复性；限制。历史搜索/FAC、A2/A3b、全部配对、原生训练/成本、投影/APG与校准失败留在问题组织的补充和逐尝试台账。</w:t>
      </w:r>
    </w:p>
    <w:p>
      <w:pPr>
        <w:pStyle w:val="BodyText"/>
      </w:pPr>
      <w:r>
        <w:t xml:space="preserve">R1的完整对象、强固定比较、颜色解释、配对统计、真实烘焙与代码交付有实质增强；原v1严格重放、FAC完整训练复现、接缝/PBR和稳定材料保真仍未闭合。R2的CAI通过撤回处理，不同骨干已实际检验但没有正向普遍迁移；创新充分性保留为期刊判断。</w:t>
      </w:r>
    </w:p>
    <w:p>
      <w:pPr>
        <w:pStyle w:val="BodyText"/>
      </w:pPr>
      <w:r>
        <w:t xml:space="preserve">本次最后交付同一个命名的主文、标记稿、补充、逐条回复、标题页、cover letter、highlights、真实网格视频、可编辑源码、统计复算及审计包。标记稿针对认证原投稿，不只对第15版标记。所有父版本科研指标和科研图像保留原字节；新图来自已有CSV。</w:t>
      </w:r>
    </w:p>
    <w:p>
      <w:pPr>
        <w:pStyle w:val="BodyText"/>
      </w:pPr>
      <w:r>
        <w:t xml:space="preserve">已在隔离目录重现核心全部配对均值/校正、seed/dominance/UV诊断、三个FAC组件fixture及276/275槽位统计；原timing主问题按原规则精确重现。新PDF重新构建、检查引用与页面，不继承父版本PASS充当新文件认证。最终清单和hash按实际交付生成。</w:t>
      </w:r>
    </w:p>
    <w:p>
      <w:pPr>
        <w:pStyle w:val="BodyText"/>
      </w:pPr>
      <w:r>
        <w:rPr>
          <w:bCs/>
          <w:b/>
        </w:rPr>
        <w:t xml:space="preserve">交付含义：准备完成、可供作者最终审阅的实证修回包；没有投稿、部署或推送分支，也没有保证所有审稿缺口消失。</w:t>
      </w:r>
      <w:r>
        <w:t xml:space="preserve"> </w:t>
      </w:r>
      <w:r>
        <w:t xml:space="preserve">最后应由作者确认科学结论与投稿方向，不能把统计可复算当作论文必然接收。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audit/EXPERIMENT_LEDGER.csv" TargetMode="External" /><Relationship Type="http://schemas.openxmlformats.org/officeDocument/2006/relationships/hyperlink" Id="rId21" Target="audit/LOCAL_SCOPE_AND_BRANCHES.json" TargetMode="External" /><Relationship Type="http://schemas.openxmlformats.org/officeDocument/2006/relationships/hyperlink" Id="rId34" Target="audit/ORIGINAL_CHECKPOINT_IDENTITY_ZH.md" TargetMode="External" /><Relationship Type="http://schemas.openxmlformats.org/officeDocument/2006/relationships/hyperlink" Id="rId37" Target="https://github.com/lllyasviel/ControlNet/blob/f2e1bc38dc8d925fb542be4c138c46013ace1988/gradio_depth2image.py#L54" TargetMode="External" /><Relationship Type="http://schemas.openxmlformats.org/officeDocument/2006/relationships/hyperlink" Id="rId38" Target="https://huggingface.co/docs/diffusers/v0.21.0/api/pipelines/controlnet" TargetMode="External" /><Relationship Type="http://schemas.openxmlformats.org/officeDocument/2006/relationships/hyperlink" Id="rId39" Target="https://openaccess.thecvf.com/content/CVPR2024/html/Zeng_Paint3D_Paint_Anything_3D_with_Lighting-Less_Texture_Diffusion_Models_CVPR_2024_paper.html" TargetMode="External" /><Relationship Type="http://schemas.openxmlformats.org/officeDocument/2006/relationships/hyperlink" Id="rId36" Target="https://openaccess.thecvf.com/content/CVPR2026W/NTIRE/papers/Kulkarni_Scheduled_Style_Injection_Expanding_the_Style-Content_Pareto_Frontier_in_Training-Free_CVPRW_2026_pape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udit/EXPERIMENT_LEDGER.csv" TargetMode="External" /><Relationship Type="http://schemas.openxmlformats.org/officeDocument/2006/relationships/hyperlink" Id="rId21" Target="audit/LOCAL_SCOPE_AND_BRANCHES.json" TargetMode="External" /><Relationship Type="http://schemas.openxmlformats.org/officeDocument/2006/relationships/hyperlink" Id="rId34" Target="audit/ORIGINAL_CHECKPOINT_IDENTITY_ZH.md" TargetMode="External" /><Relationship Type="http://schemas.openxmlformats.org/officeDocument/2006/relationships/hyperlink" Id="rId37" Target="https://github.com/lllyasviel/ControlNet/blob/f2e1bc38dc8d925fb542be4c138c46013ace1988/gradio_depth2image.py#L54" TargetMode="External" /><Relationship Type="http://schemas.openxmlformats.org/officeDocument/2006/relationships/hyperlink" Id="rId38" Target="https://huggingface.co/docs/diffusers/v0.21.0/api/pipelines/controlnet" TargetMode="External" /><Relationship Type="http://schemas.openxmlformats.org/officeDocument/2006/relationships/hyperlink" Id="rId39" Target="https://openaccess.thecvf.com/content/CVPR2024/html/Zeng_Paint3D_Paint_Anything_3D_with_Lighting-Less_Texture_Diffusion_Models_CVPR_2024_paper.html" TargetMode="External" /><Relationship Type="http://schemas.openxmlformats.org/officeDocument/2006/relationships/hyperlink" Id="rId36" Target="https://openaccess.thecvf.com/content/CVPR2026W/NTIRE/papers/Kulkarni_Scheduled_Style_Injection_Expanding_the_Style-Content_Pareto_Frontier_in_Training-Free_CVPRW_2026_pape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2026-10-13T01:12:25Z</dcterms:created>
  <dcterms:modified xsi:type="dcterms:W3CDTF">2026-10-13T01:12:25Z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