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ighlights"/>
    <w:p>
      <w:pPr>
        <w:pStyle w:val="Heading1"/>
      </w:pPr>
      <w:r>
        <w:t xml:space="preserve">Highlights</w:t>
      </w:r>
    </w:p>
    <w:p>
      <w:pPr>
        <w:numPr>
          <w:ilvl w:val="0"/>
          <w:numId w:val="1001"/>
        </w:numPr>
        <w:pStyle w:val="Compact"/>
      </w:pPr>
      <w:r>
        <w:t xml:space="preserve">Equal applied budgets do not support the historical middle-window preference.</w:t>
      </w:r>
    </w:p>
    <w:p>
      <w:pPr>
        <w:numPr>
          <w:ilvl w:val="0"/>
          <w:numId w:val="1001"/>
        </w:numPr>
        <w:pStyle w:val="Compact"/>
      </w:pPr>
      <w:r>
        <w:t xml:space="preserve">Strong fixed and linear controls change the practical recommendation.</w:t>
      </w:r>
    </w:p>
    <w:p>
      <w:pPr>
        <w:numPr>
          <w:ilvl w:val="0"/>
          <w:numId w:val="1001"/>
        </w:numPr>
        <w:pStyle w:val="Compact"/>
      </w:pPr>
      <w:r>
        <w:t xml:space="preserve">Full-frame gains can coexist with worse foreground agreement.</w:t>
      </w:r>
    </w:p>
    <w:p>
      <w:pPr>
        <w:numPr>
          <w:ilvl w:val="0"/>
          <w:numId w:val="1001"/>
        </w:numPr>
        <w:pStyle w:val="Compact"/>
      </w:pPr>
      <w:r>
        <w:t xml:space="preserve">Small baked-view gains do not transfer consistently across protocols.</w:t>
      </w:r>
    </w:p>
    <w:p>
      <w:pPr>
        <w:numPr>
          <w:ilvl w:val="0"/>
          <w:numId w:val="1001"/>
        </w:numPr>
        <w:pStyle w:val="Compact"/>
      </w:pPr>
      <w:r>
        <w:t xml:space="preserve">Fixed seeds distinguish average effects from repeatable object benefits.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2026-10-13T01:07:43Z</dcterms:created>
  <dcterms:modified xsi:type="dcterms:W3CDTF">2026-10-13T01:07:43Z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