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sponse-to-reviewers-conservative_r1"/>
    <w:p>
      <w:pPr>
        <w:pStyle w:val="Heading1"/>
      </w:pPr>
      <w:r>
        <w:t xml:space="preserve">Response to Reviewers — conservative_r1</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300-object matrix with four equal-applied-budget stage controls and two separate strength controls,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We also thank Reviewer 3 for the positive assessment; no additional technical change was requested.</w:t>
      </w:r>
    </w:p>
    <w:bookmarkStart w:id="20" w:name="summary-of-changes-and-remaining-scope"/>
    <w:p>
      <w:pPr>
        <w:pStyle w:val="Heading2"/>
      </w:pPr>
      <w:r>
        <w:t xml:space="preserve">Summary of changes and remaining scope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Request</w:t>
            </w:r>
          </w:p>
        </w:tc>
        <w:tc>
          <w:p>
            <w:pPr>
              <w:pStyle w:val="Compact"/>
              <w:jc w:val="left"/>
            </w:pPr>
            <w:r>
              <w:t xml:space="preserve">Evidence and change</w:t>
            </w:r>
          </w:p>
        </w:tc>
        <w:tc>
          <w:p>
            <w:pPr>
              <w:pStyle w:val="Compact"/>
              <w:jc w:val="left"/>
            </w:pPr>
            <w:r>
              <w:t xml:space="preserve">Remaining boundary</w:t>
            </w:r>
          </w:p>
        </w:tc>
      </w:tr>
      <w:tr>
        <w:tc>
          <w:p>
            <w:pPr>
              <w:pStyle w:val="Compact"/>
              <w:jc w:val="left"/>
            </w:pPr>
            <w:r>
              <w:t xml:space="preserve">R1.1 Practical quality</w:t>
            </w:r>
          </w:p>
        </w:tc>
        <w:tc>
          <w:p>
            <w:pPr>
              <w:pStyle w:val="Compact"/>
              <w:jc w:val="left"/>
            </w:pPr>
            <w:r>
              <w:t xml:space="preserve">Complete-object figures, GT-256 projection control, unseen-view bake pilot and actual-output video</w:t>
            </w:r>
          </w:p>
        </w:tc>
        <w:tc>
          <w:p>
            <w:pPr>
              <w:pStyle w:val="Compact"/>
              <w:jc w:val="left"/>
            </w:pPr>
            <w:r>
              <w:t xml:space="preserve">True unset-scale GeoTex output, validated seams/PBR and usable appearance improvement are not supplied</w:t>
            </w:r>
          </w:p>
        </w:tc>
      </w:tr>
      <w:tr>
        <w:tc>
          <w:p>
            <w:pPr>
              <w:pStyle w:val="Compact"/>
              <w:jc w:val="left"/>
            </w:pPr>
            <w:r>
              <w:t xml:space="preserve">R1.2 Holdout comparison</w:t>
            </w:r>
          </w:p>
        </w:tc>
        <w:tc>
          <w:p>
            <w:pPr>
              <w:pStyle w:val="Compact"/>
              <w:jc w:val="left"/>
            </w:pPr>
            <w:r>
              <w:t xml:space="preserve">Input-disjoint Fresh C with paired strong baselines</w:t>
            </w:r>
          </w:p>
        </w:tc>
        <w:tc>
          <w:p>
            <w:pPr>
              <w:pStyle w:val="Compact"/>
              <w:jc w:val="left"/>
            </w:pPr>
            <w:r>
              <w:t xml:space="preserve">Retrained checkpoint; the original main-adapter +0.96 dB estimate is not directly confirmed</w:t>
            </w:r>
          </w:p>
        </w:tc>
      </w:tr>
      <w:tr>
        <w:tc>
          <w:p>
            <w:pPr>
              <w:pStyle w:val="Compact"/>
              <w:jc w:val="left"/>
            </w:pPr>
            <w:r>
              <w:t xml:space="preserve">R1.3–1.4 Interpretation/statistics</w:t>
            </w:r>
          </w:p>
        </w:tc>
        <w:tc>
          <w:p>
            <w:pPr>
              <w:pStyle w:val="Compact"/>
              <w:jc w:val="left"/>
            </w:pPr>
            <w:r>
              <w:t xml:space="preserve">Variation separated from fidelity; paired intervals and endpoint losses reported</w:t>
            </w:r>
          </w:p>
        </w:tc>
        <w:tc>
          <w:p>
            <w:pPr>
              <w:pStyle w:val="Compact"/>
              <w:jc w:val="left"/>
            </w:pPr>
            <w:r>
              <w:t xml:space="preserve">No equivalence, non-inferiority or perceptible-gain claim</w:t>
            </w:r>
          </w:p>
        </w:tc>
      </w:tr>
      <w:tr>
        <w:tc>
          <w:p>
            <w:pPr>
              <w:pStyle w:val="Compact"/>
              <w:jc w:val="left"/>
            </w:pPr>
            <w:r>
              <w:t xml:space="preserve">R1.5 FAC reproduction</w:t>
            </w:r>
          </w:p>
        </w:tc>
        <w:tc>
          <w:p>
            <w:pPr>
              <w:pStyle w:val="Compact"/>
              <w:jc w:val="left"/>
            </w:pPr>
            <w:r>
              <w:t xml:space="preserve">Executed inference/statistics materials and historical negative results retained</w:t>
            </w:r>
          </w:p>
        </w:tc>
        <w:tc>
          <w:p>
            <w:pPr>
              <w:pStyle w:val="Compact"/>
              <w:jc w:val="left"/>
            </w:pPr>
            <w:r>
              <w:t xml:space="preserve">Missing FAC manifests and weights prevent full replay</w:t>
            </w:r>
          </w:p>
        </w:tc>
      </w:tr>
      <w:tr>
        <w:tc>
          <w:p>
            <w:pPr>
              <w:pStyle w:val="Compact"/>
              <w:jc w:val="left"/>
            </w:pPr>
            <w:r>
              <w:t xml:space="preserve">R2.1 Contribution</w:t>
            </w:r>
          </w:p>
        </w:tc>
        <w:tc>
          <w:p>
            <w:pPr>
              <w:pStyle w:val="Compact"/>
              <w:jc w:val="left"/>
            </w:pPr>
            <w:r>
              <w:t xml:space="preserve">Controlled equal-budget allocation, calibrated bake endpoints and native second-interface evidence</w:t>
            </w:r>
          </w:p>
        </w:tc>
        <w:tc>
          <w:p>
            <w:pPr>
              <w:pStyle w:val="Compact"/>
              <w:jc w:val="left"/>
            </w:pPr>
            <w:r>
              <w:t xml:space="preserve">An empirical system study; no new general scheduling algorithm</w:t>
            </w:r>
          </w:p>
        </w:tc>
      </w:tr>
      <w:tr>
        <w:tc>
          <w:p>
            <w:pPr>
              <w:pStyle w:val="Compact"/>
              <w:jc w:val="left"/>
            </w:pPr>
            <w:r>
              <w:t xml:space="preserve">R2.2 CAI</w:t>
            </w:r>
          </w:p>
        </w:tc>
        <w:tc>
          <w:p>
            <w:pPr>
              <w:pStyle w:val="Compact"/>
              <w:jc w:val="left"/>
            </w:pPr>
            <w:r>
              <w:t xml:space="preserve">Independent derivation, proof and optimality removed</w:t>
            </w:r>
          </w:p>
        </w:tc>
        <w:tc>
          <w:p>
            <w:pPr>
              <w:pStyle w:val="Compact"/>
              <w:jc w:val="left"/>
            </w:pPr>
            <w:r>
              <w:t xml:space="preserve">C3 remains a historically selected profile</w:t>
            </w:r>
          </w:p>
        </w:tc>
      </w:tr>
      <w:tr>
        <w:tc>
          <w:p>
            <w:pPr>
              <w:pStyle w:val="Compact"/>
              <w:jc w:val="left"/>
            </w:pPr>
            <w:r>
              <w:t xml:space="preserve">R2.3 Second backbone</w:t>
            </w:r>
          </w:p>
        </w:tc>
        <w:tc>
          <w:p>
            <w:pPr>
              <w:pStyle w:val="Compact"/>
              <w:jc w:val="left"/>
            </w:pPr>
            <w:r>
              <w:t xml:space="preserve">Fifty-object native MV-Adapter matrix, valid cameras and full contrasts</w:t>
            </w:r>
          </w:p>
        </w:tc>
        <w:tc>
          <w:p>
            <w:pPr>
              <w:pStyle w:val="Compact"/>
              <w:jc w:val="left"/>
            </w:pPr>
            <w:r>
              <w:t xml:space="preserve">Different scaling interface; the primary gain is not separated</w:t>
            </w:r>
          </w:p>
        </w:tc>
      </w:tr>
    </w:tbl>
    <w:p>
      <w:pPr>
        <w:pStyle w:val="BodyText"/>
      </w:pPr>
      <w:r>
        <w:t xml:space="preserve">The main text now prioritizes the scientific question, three principal evidence sets and practical interpretation. Detailed checkpoint/recovery and appearance-diagnostic limits are consolidated in Supplementary Section S19. This is a presentation change; cohort membership, frozen conditions, statistics and effective negative results are preserved.</w:t>
      </w:r>
    </w:p>
    <w:bookmarkEnd w:id="20"/>
    <w:bookmarkStart w:id="26" w:name="reviewer-1"/>
    <w:p>
      <w:pPr>
        <w:pStyle w:val="Heading2"/>
      </w:pPr>
      <w:r>
        <w:t xml:space="preserve">Reviewer 1</w:t>
      </w:r>
    </w:p>
    <w:bookmarkStart w:id="21"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pixel ROI; Figure 7 shows shared full-object frames for favorable and adverse C3–GFL cases. Figure 8 adds actual full-object source and unseen-bake views, including the retained Tire color failure. Supplementary Figures S2–S8 show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one six-view, seven-condition adverse Boat panel. We have shortened figure-internal labels and moved selection, camera and interpretation details into captions. The new native MV-Adapter illustration is Figure 9; the bake main figure focuses on Source/GT/Fixed Mean/Late-high, while each rights-cleared bake object has a balanced full-condition supplementary matrix. Figure S9 supplies every native MV-Adapter control.</w:t>
      </w:r>
    </w:p>
    <w:p>
      <w:pPr>
        <w:pStyle w:val="BodyText"/>
      </w:pPr>
      <w:r>
        <w:t xml:space="preserve">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unset-scale GeoTex default has not been generated in this comparison: Constant 1.0 (capped) and No Adapter do not meet that part of the unmodified-pipeline request. Broad brown-pattern appearance failures persist across several displayed objects, so the small relative LPIPS result is not claimed as usable texture recovery.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w:t>
      </w:r>
    </w:p>
    <w:p>
      <w:pPr>
        <w:pStyle w:val="BodyText"/>
      </w:pPr>
      <w:r>
        <w:rPr>
          <w:bCs/>
          <w:b/>
        </w:rPr>
        <w:t xml:space="preserve">Location.</w:t>
      </w:r>
      <w:r>
        <w:t xml:space="preserve"> </w:t>
      </w:r>
      <w:r>
        <w:t xml:space="preserve">Main manuscript: Figures 5–8, color Table 9, bake Table 10, Limitations. Supplement: Figures S1–S9, Sections S6–S8, S13/Table S18, S18 and attribution/provenance in Table S1 and the new bake credit CSV.</w:t>
      </w:r>
    </w:p>
    <w:bookmarkEnd w:id="21"/>
    <w:bookmarkStart w:id="22"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4–5, stage placement, Limitations. Supplement: S2, S3, S4–S5, S8, and S9.</w:t>
      </w:r>
    </w:p>
    <w:bookmarkEnd w:id="22"/>
    <w:bookmarkStart w:id="23"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13; Limitations. Supplement: S2, S7, S12, S18.</w:t>
      </w:r>
    </w:p>
    <w:bookmarkEnd w:id="23"/>
    <w:bookmarkStart w:id="24"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5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5 and endpoint interpretation. Supplement: Section S2.</w:t>
      </w:r>
    </w:p>
    <w:bookmarkEnd w:id="24"/>
    <w:bookmarkStart w:id="25"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5"/>
    <w:bookmarkEnd w:id="26"/>
    <w:bookmarkStart w:id="30" w:name="reviewer-2"/>
    <w:p>
      <w:pPr>
        <w:pStyle w:val="Heading2"/>
      </w:pPr>
      <w:r>
        <w:t xml:space="preserve">Reviewer 2</w:t>
      </w:r>
    </w:p>
    <w:bookmarkStart w:id="27"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matched 300-object addendum (four equal-budget allocation controls plus two separate strength controls)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Its scientific case is the measured response of this graphics system under strong controls, including the falsification of the historical middle-window preference and the limits of image metrics for interpreting baked appearance.</w:t>
      </w:r>
    </w:p>
    <w:p>
      <w:pPr>
        <w:pStyle w:val="BodyText"/>
      </w:pPr>
      <w:r>
        <w:t xml:space="preserve">The new ten-object bake pilot adds a small relative baked-image result rather than a new algorithm: Late-high–Fixed Mean unseen LPIPS is −0.00265, favorable on ten of ten, with C3–GFH PSNR not stably positive and C3 SSIM lower. The fifty-object native MV-Adapter primary is also not separated. Across seven controls, mean image/bake rank correlations are positive; the LPIPS winning condition changes in seven objects. Thus we do not claim a general ranking reversal. The revised contributions focus on controlled task-specific evidence, a small relative baked-image finding and interface limits, with reproducibility supporting the conclusions. Late-high is not renamed C3, and no deployable selector is inferred from an oracle upper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7"/>
    <w:bookmarkStart w:id="28"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3, Figure 4. Supplement: S10/Table S15.</w:t>
      </w:r>
    </w:p>
    <w:bookmarkEnd w:id="28"/>
    <w:bookmarkStart w:id="29"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11–12 and Figure 9, Limitations; Supplement S5, S16–S17 and the complete native fifty-object contrast table. The separate bake evidence is Table 10/Figure 8, Supplement S18.</w:t>
      </w:r>
    </w:p>
    <w:bookmarkEnd w:id="29"/>
    <w:bookmarkEnd w:id="30"/>
    <w:bookmarkStart w:id="31" w:name="conservative-iteration-1"/>
    <w:p>
      <w:pPr>
        <w:pStyle w:val="Heading2"/>
      </w:pPr>
      <w:r>
        <w:t xml:space="preserve">Conservative iteration 1</w:t>
      </w:r>
    </w:p>
    <w:p>
      <w:pPr>
        <w:pStyle w:val="FirstParagraph"/>
      </w:pPr>
      <w:r>
        <w:t xml:space="preserve">This iteration clarifies the temporal C3 request and the distinction between four equal-budget allocation controls and the two strength baselines. The abstract now reports the limited prespecified C3–Fixed Low gain alongside all strong-baseline counterevidence. It does not recover the original main-checkpoint estimate or promote the same-cohort addendum to an independent holdout. No new inference, training, object selection or statistical family is introduced.</w:t>
      </w:r>
    </w:p>
    <w:bookmarkEnd w:id="31"/>
    <w:bookmarkStart w:id="32"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all new bake labels use Constant 1.0 (capped). No additional eighth condition is introduced. Figure 1 is now a reproducible vector schematic with separate reference and geometry paths; manuscript/code assistance is disclosed; the schematic contains no experimental thumbnails,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2026-10-11T01:17:32Z</dcterms:created>
  <dcterms:modified xsi:type="dcterms:W3CDTF">2026-10-11T01:17:32Z</dcterms:modified>
</cp:coreProperties>
</file>

<file path=docProps/custom.xml><?xml version="1.0" encoding="utf-8"?>
<Properties xmlns="http://schemas.openxmlformats.org/officeDocument/2006/custom-properties" xmlns:vt="http://schemas.openxmlformats.org/officeDocument/2006/docPropsVTypes"/>
</file>