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applies a three-stage requested-scale profile to an existing geometry adapter.</w:t>
      </w:r>
    </w:p>
    <w:p>
      <w:pPr>
        <w:numPr>
          <w:ilvl w:val="0"/>
          <w:numId w:val="1001"/>
        </w:numPr>
        <w:pStyle w:val="Compact"/>
      </w:pPr>
      <w:r>
        <w:t xml:space="preserve">Fresh C compares matched rendered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mean FG-PSNR (95% CI 0.404–0.641).</w:t>
      </w:r>
    </w:p>
    <w:p>
      <w:pPr>
        <w:numPr>
          <w:ilvl w:val="0"/>
          <w:numId w:val="1001"/>
        </w:numPr>
        <w:pStyle w:val="Compact"/>
      </w:pPr>
      <w:r>
        <w:t xml:space="preserve">C3 and GFL differ in applied deep/middle scale sums; the result is not timing-only.</w:t>
      </w:r>
    </w:p>
    <w:p>
      <w:pPr>
        <w:numPr>
          <w:ilvl w:val="0"/>
          <w:numId w:val="1001"/>
        </w:numPr>
        <w:pStyle w:val="Compact"/>
      </w:pPr>
      <w:r>
        <w:t xml:space="preserve">Image-space results do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2026-10-09T08:11:45Z</dcterms:created>
  <dcterms:modified xsi:type="dcterms:W3CDTF">2026-10-09T08:11:45Z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