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5515610</wp:posOffset>
            </wp:positionH>
            <wp:positionV relativeFrom="page">
              <wp:posOffset>69850</wp:posOffset>
            </wp:positionV>
            <wp:extent cx="1358900" cy="508000"/>
            <wp:wrapNone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9264" behindDoc="0" locked="0" layoutInCell="1" allowOverlap="1">
            <wp:simplePos x="0" y="0"/>
            <wp:positionH relativeFrom="page">
              <wp:posOffset>10198100</wp:posOffset>
            </wp:positionH>
            <wp:positionV relativeFrom="topMargin">
              <wp:posOffset>10312400</wp:posOffset>
            </wp:positionV>
            <wp:extent cx="254000" cy="317500"/>
            <wp:wrapNone/>
            <wp:docPr id="1000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60288" behindDoc="0" locked="0" layoutInCell="1" allowOverlap="1">
            <wp:simplePos x="0" y="0"/>
            <wp:positionH relativeFrom="page">
              <wp:posOffset>12103100</wp:posOffset>
            </wp:positionH>
            <wp:positionV relativeFrom="topMargin">
              <wp:posOffset>10375900</wp:posOffset>
            </wp:positionV>
            <wp:extent cx="342900" cy="381000"/>
            <wp:wrapNone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年海南省普通高中学业水平选择性考试地理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分。在每小题给出的四个选项中，只有一项是符合题目要求的。</w:t>
      </w:r>
    </w:p>
    <w:p w:rsidR="00FC5860" w:rsidRPr="00BE1BCD">
      <w:pPr>
        <w:spacing w:line="360" w:lineRule="auto"/>
        <w:ind w:firstLine="420"/>
        <w:jc w:val="left"/>
      </w:pPr>
      <w:r>
        <w:rPr>
          <w:rFonts w:ascii="楷体" w:eastAsia="楷体" w:hAnsi="楷体" w:cs="楷体"/>
          <w:color w:val="auto"/>
        </w:rPr>
        <w:t>下表中的数据表示与</w:t>
      </w:r>
      <w:r>
        <w:rPr>
          <w:rFonts w:ascii="Times New Roman" w:eastAsia="Times New Roman" w:hAnsi="Times New Roman" w:cs="Times New Roman"/>
          <w:color w:val="auto"/>
        </w:rPr>
        <w:t>2010</w:t>
      </w:r>
      <w:r>
        <w:rPr>
          <w:rFonts w:ascii="楷体" w:eastAsia="楷体" w:hAnsi="楷体" w:cs="楷体"/>
          <w:color w:val="auto"/>
        </w:rPr>
        <w:t>年相比，我国</w:t>
      </w:r>
      <w:r>
        <w:rPr>
          <w:rFonts w:ascii="Times New Roman" w:eastAsia="Times New Roman" w:hAnsi="Times New Roman" w:cs="Times New Roman"/>
          <w:color w:val="auto"/>
        </w:rPr>
        <w:t>2020</w:t>
      </w:r>
      <w:r>
        <w:rPr>
          <w:rFonts w:ascii="楷体" w:eastAsia="楷体" w:hAnsi="楷体" w:cs="楷体"/>
          <w:color w:val="auto"/>
        </w:rPr>
        <w:t>年人口结构的变化。据此完成下面小题。</w:t>
      </w:r>
    </w:p>
    <w:tbl>
      <w:tblPr>
        <w:tblStyle w:val="TableNormal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63"/>
        <w:gridCol w:w="1181"/>
        <w:gridCol w:w="1280"/>
        <w:gridCol w:w="1119"/>
        <w:gridCol w:w="1765"/>
        <w:gridCol w:w="875"/>
        <w:gridCol w:w="863"/>
      </w:tblGrid>
      <w:tr>
        <w:tblPrEx>
          <w:tblW w:w="7965" w:type="dxa"/>
        </w:tblPrEx>
        <w:trPr>
          <w:cantSplit w:val="0"/>
        </w:trPr>
        <w:tc>
          <w:tcPr>
            <w:tcW w:w="6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楷体" w:eastAsia="楷体" w:hAnsi="楷体" w:cs="楷体"/>
                <w:color w:val="auto"/>
              </w:rPr>
              <w:t>类别</w:t>
            </w:r>
          </w:p>
        </w:tc>
        <w:tc>
          <w:tcPr>
            <w:tcW w:w="32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楷体" w:eastAsia="楷体" w:hAnsi="楷体" w:cs="楷体"/>
                <w:color w:val="auto"/>
              </w:rPr>
              <w:t>人口年龄结构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/%</w:t>
            </w:r>
          </w:p>
        </w:tc>
        <w:tc>
          <w:tcPr>
            <w:tcW w:w="16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楷体" w:eastAsia="楷体" w:hAnsi="楷体" w:cs="楷体"/>
                <w:color w:val="auto"/>
              </w:rPr>
              <w:t>劳动年龄</w:t>
            </w:r>
          </w:p>
          <w:p w:rsidR="00FC5860" w:rsidRPr="00BE1BCD">
            <w:pPr>
              <w:spacing w:line="360" w:lineRule="auto"/>
              <w:jc w:val="left"/>
            </w:pPr>
            <w:r>
              <w:rPr>
                <w:rFonts w:ascii="楷体" w:eastAsia="楷体" w:hAnsi="楷体" w:cs="楷体"/>
                <w:color w:val="auto"/>
              </w:rPr>
              <w:t>人口老化比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/%</w:t>
            </w:r>
          </w:p>
        </w:tc>
        <w:tc>
          <w:tcPr>
            <w:tcW w:w="13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楷体" w:eastAsia="楷体" w:hAnsi="楷体" w:cs="楷体"/>
                <w:color w:val="auto"/>
              </w:rPr>
              <w:t>抚养比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/%</w:t>
            </w:r>
          </w:p>
        </w:tc>
      </w:tr>
      <w:tr>
        <w:tblPrEx>
          <w:tblW w:w="796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C5860" w:rsidRPr="00BE1BCD">
            <w:pPr>
              <w:spacing w:line="360" w:lineRule="auto"/>
              <w:ind w:firstLine="420"/>
              <w:jc w:val="left"/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color w:val="auto"/>
              </w:rPr>
              <w:t>0-14</w:t>
            </w:r>
            <w:r>
              <w:rPr>
                <w:rFonts w:ascii="楷体" w:eastAsia="楷体" w:hAnsi="楷体" w:cs="楷体"/>
                <w:color w:val="auto"/>
              </w:rPr>
              <w:t>岁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color w:val="auto"/>
              </w:rPr>
              <w:t>15-64</w:t>
            </w:r>
            <w:r>
              <w:rPr>
                <w:rFonts w:ascii="楷体" w:eastAsia="楷体" w:hAnsi="楷体" w:cs="楷体"/>
                <w:color w:val="auto"/>
              </w:rPr>
              <w:t>岁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楷体" w:eastAsia="楷体" w:hAnsi="楷体" w:cs="楷体"/>
                <w:color w:val="auto"/>
              </w:rPr>
              <w:t>≥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65</w:t>
            </w:r>
            <w:r>
              <w:rPr>
                <w:rFonts w:ascii="楷体" w:eastAsia="楷体" w:hAnsi="楷体" w:cs="楷体"/>
                <w:color w:val="auto"/>
              </w:rPr>
              <w:t>岁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C5860" w:rsidRPr="00BE1BCD">
            <w:pPr>
              <w:spacing w:line="360" w:lineRule="auto"/>
              <w:ind w:firstLine="420"/>
              <w:jc w:val="left"/>
            </w:pP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楷体" w:eastAsia="楷体" w:hAnsi="楷体" w:cs="楷体"/>
                <w:color w:val="auto"/>
              </w:rPr>
              <w:t>少儿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楷体" w:eastAsia="楷体" w:hAnsi="楷体" w:cs="楷体"/>
                <w:color w:val="auto"/>
              </w:rPr>
              <w:t>老年</w:t>
            </w:r>
          </w:p>
        </w:tc>
      </w:tr>
      <w:tr>
        <w:tblPrEx>
          <w:tblW w:w="7965" w:type="dxa"/>
        </w:tblPrEx>
        <w:trPr>
          <w:cantSplit w:val="0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楷体" w:eastAsia="楷体" w:hAnsi="楷体" w:cs="楷体"/>
                <w:color w:val="auto"/>
              </w:rPr>
              <w:t>城市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color w:val="auto"/>
              </w:rPr>
              <w:t>2.2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color w:val="auto"/>
              </w:rPr>
              <w:t>-5.6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color w:val="auto"/>
              </w:rPr>
              <w:t>3.4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color w:val="auto"/>
              </w:rPr>
              <w:t>8.5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color w:val="auto"/>
              </w:rPr>
              <w:t>4.6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color w:val="auto"/>
              </w:rPr>
              <w:t>5.5</w:t>
            </w:r>
          </w:p>
        </w:tc>
      </w:tr>
      <w:tr>
        <w:tblPrEx>
          <w:tblW w:w="7965" w:type="dxa"/>
        </w:tblPrEx>
        <w:trPr>
          <w:cantSplit w:val="0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楷体" w:eastAsia="楷体" w:hAnsi="楷体" w:cs="楷体"/>
                <w:color w:val="auto"/>
              </w:rPr>
              <w:t>乡村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color w:val="auto"/>
              </w:rPr>
              <w:t>-1</w:t>
            </w:r>
            <w:r>
              <w:rPr>
                <w:rFonts w:ascii="Times New Roman" w:eastAsia="Times New Roman" w:hAnsi="Times New Roman" w:cs="Times New Roman"/>
                <w:color w:val="auto"/>
                <w:position w:val="-22"/>
              </w:rPr>
              <w:drawing>
                <wp:inline>
                  <wp:extent cx="31750" cy="88900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color w:val="auto"/>
              </w:rPr>
              <w:t>-6.6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color w:val="auto"/>
              </w:rPr>
              <w:t>7.7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color w:val="auto"/>
              </w:rPr>
              <w:t>14.1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color w:val="auto"/>
              </w:rPr>
              <w:t>1.3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color w:val="auto"/>
              </w:rPr>
              <w:t>13.8</w:t>
            </w:r>
          </w:p>
        </w:tc>
      </w:tr>
    </w:tbl>
    <w:p w:rsidR="00FC5860" w:rsidRPr="00BE1BCD">
      <w:pPr>
        <w:spacing w:line="360" w:lineRule="auto"/>
        <w:ind w:firstLine="420"/>
        <w:jc w:val="left"/>
      </w:pPr>
      <w:r>
        <w:rPr>
          <w:rFonts w:ascii="楷体" w:eastAsia="楷体" w:hAnsi="楷体" w:cs="楷体"/>
          <w:color w:val="auto"/>
        </w:rPr>
        <w:t>注：①劳动年龄人口老化比：劳动年龄</w:t>
      </w:r>
      <w:r>
        <w:rPr>
          <w:rFonts w:ascii="Times New Roman" w:eastAsia="Times New Roman" w:hAnsi="Times New Roman" w:cs="Times New Roman"/>
          <w:color w:val="auto"/>
        </w:rPr>
        <w:t>(15</w:t>
      </w:r>
      <w:r>
        <w:rPr>
          <w:rFonts w:ascii="楷体" w:eastAsia="楷体" w:hAnsi="楷体" w:cs="楷体"/>
          <w:color w:val="auto"/>
        </w:rPr>
        <w:t>—</w:t>
      </w:r>
      <w:r>
        <w:rPr>
          <w:rFonts w:ascii="Times New Roman" w:eastAsia="Times New Roman" w:hAnsi="Times New Roman" w:cs="Times New Roman"/>
          <w:color w:val="auto"/>
        </w:rPr>
        <w:t>64</w:t>
      </w:r>
      <w:r>
        <w:rPr>
          <w:rFonts w:ascii="楷体" w:eastAsia="楷体" w:hAnsi="楷体" w:cs="楷体"/>
          <w:color w:val="auto"/>
        </w:rPr>
        <w:t>岁</w:t>
      </w:r>
      <w:r>
        <w:rPr>
          <w:rFonts w:ascii="Times New Roman" w:eastAsia="Times New Roman" w:hAnsi="Times New Roman" w:cs="Times New Roman"/>
          <w:color w:val="auto"/>
        </w:rPr>
        <w:t>)</w:t>
      </w:r>
      <w:r>
        <w:rPr>
          <w:rFonts w:ascii="楷体" w:eastAsia="楷体" w:hAnsi="楷体" w:cs="楷体"/>
          <w:color w:val="auto"/>
        </w:rPr>
        <w:t>中</w:t>
      </w:r>
      <w:r>
        <w:rPr>
          <w:rFonts w:ascii="Times New Roman" w:eastAsia="Times New Roman" w:hAnsi="Times New Roman" w:cs="Times New Roman"/>
          <w:color w:val="auto"/>
        </w:rPr>
        <w:t>45</w:t>
      </w:r>
      <w:r>
        <w:rPr>
          <w:rFonts w:ascii="楷体" w:eastAsia="楷体" w:hAnsi="楷体" w:cs="楷体"/>
          <w:color w:val="auto"/>
        </w:rPr>
        <w:t>岁以上的人口占比。</w:t>
      </w:r>
    </w:p>
    <w:p w:rsidR="00FC5860" w:rsidRPr="00BE1BCD">
      <w:pPr>
        <w:spacing w:line="360" w:lineRule="auto"/>
        <w:ind w:firstLine="420"/>
        <w:jc w:val="left"/>
      </w:pPr>
      <w:r>
        <w:rPr>
          <w:rFonts w:ascii="楷体" w:eastAsia="楷体" w:hAnsi="楷体" w:cs="楷体"/>
          <w:color w:val="auto"/>
        </w:rPr>
        <w:t>②抚养比：少儿人口数和老年人口数与劳动年龄人口数之比。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与</w:t>
      </w:r>
      <w:r>
        <w:rPr>
          <w:rFonts w:ascii="Times New Roman" w:eastAsia="Times New Roman" w:hAnsi="Times New Roman" w:cs="Times New Roman"/>
          <w:color w:val="auto"/>
        </w:rPr>
        <w:t>2010</w:t>
      </w:r>
      <w:r>
        <w:rPr>
          <w:rFonts w:ascii="宋体" w:eastAsia="宋体" w:hAnsi="宋体" w:cs="宋体"/>
          <w:color w:val="auto"/>
        </w:rPr>
        <w:t>年相比，</w:t>
      </w:r>
      <w:r>
        <w:rPr>
          <w:rFonts w:ascii="Times New Roman" w:eastAsia="Times New Roman" w:hAnsi="Times New Roman" w:cs="Times New Roman"/>
          <w:color w:val="auto"/>
        </w:rPr>
        <w:t>2020</w:t>
      </w:r>
      <w:r>
        <w:rPr>
          <w:rFonts w:ascii="宋体" w:eastAsia="宋体" w:hAnsi="宋体" w:cs="宋体"/>
          <w:color w:val="auto"/>
        </w:rPr>
        <w:t>年我国人口结构呈现出（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人口年龄结构趋年轻化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劳动年龄人口占比增加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乡村人口老龄化程度加深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乡村人口抚养比下降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2. </w:t>
      </w:r>
      <w:r>
        <w:rPr>
          <w:rFonts w:ascii="宋体" w:eastAsia="宋体" w:hAnsi="宋体" w:cs="宋体"/>
          <w:color w:val="auto"/>
        </w:rPr>
        <w:t>表中的数据反映了（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城市养老压力逐渐变小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乡村老年产业市场潜力大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城市抚养比增速快于乡村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乡村人口生育意愿增强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农业生态效率反映农业生态系统的资源利用效率、持续性和稳定程度。人们通过调整农业生产要素投入比例，降低污染排放和资源消耗，以提高农业生态效率。下图为</w:t>
      </w:r>
      <w:r>
        <w:rPr>
          <w:rFonts w:ascii="Times New Roman" w:eastAsia="Times New Roman" w:hAnsi="Times New Roman" w:cs="Times New Roman"/>
          <w:color w:val="000000"/>
        </w:rPr>
        <w:t>2005</w:t>
      </w:r>
      <w:r>
        <w:rPr>
          <w:rFonts w:ascii="楷体" w:eastAsia="楷体" w:hAnsi="楷体" w:cs="楷体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</w:rPr>
        <w:t>2020</w:t>
      </w:r>
      <w:r>
        <w:rPr>
          <w:rFonts w:ascii="楷体" w:eastAsia="楷体" w:hAnsi="楷体" w:cs="楷体"/>
          <w:color w:val="000000"/>
        </w:rPr>
        <w:t>年我国粮食主产区分布及其农业生态效率重心转移轨迹。据此完成下面小题。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552825" cy="18192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图中农业生态效率重心转移轨迹表明（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2015</w:t>
      </w:r>
      <w:r>
        <w:rPr>
          <w:rFonts w:ascii="宋体" w:eastAsia="宋体" w:hAnsi="宋体" w:cs="宋体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</w:rPr>
        <w:t>2020</w:t>
      </w:r>
      <w:r>
        <w:rPr>
          <w:rFonts w:ascii="宋体" w:eastAsia="宋体" w:hAnsi="宋体" w:cs="宋体"/>
          <w:color w:val="000000"/>
        </w:rPr>
        <w:t>年重心位置明显南移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2010</w:t>
      </w:r>
      <w:r>
        <w:rPr>
          <w:rFonts w:ascii="宋体" w:eastAsia="宋体" w:hAnsi="宋体" w:cs="宋体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</w:rPr>
        <w:t>2015</w:t>
      </w:r>
      <w:r>
        <w:rPr>
          <w:rFonts w:ascii="宋体" w:eastAsia="宋体" w:hAnsi="宋体" w:cs="宋体"/>
          <w:color w:val="000000"/>
        </w:rPr>
        <w:t>年重心转移速度加快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2005</w:t>
      </w:r>
      <w:r>
        <w:rPr>
          <w:rFonts w:ascii="宋体" w:eastAsia="宋体" w:hAnsi="宋体" w:cs="宋体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</w:rPr>
        <w:t>2010</w:t>
      </w:r>
      <w:r>
        <w:rPr>
          <w:rFonts w:ascii="宋体" w:eastAsia="宋体" w:hAnsi="宋体" w:cs="宋体"/>
          <w:color w:val="000000"/>
        </w:rPr>
        <w:t>年东北地区农业生态效率增长较慢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2005</w:t>
      </w:r>
      <w:r>
        <w:rPr>
          <w:rFonts w:ascii="宋体" w:eastAsia="宋体" w:hAnsi="宋体" w:cs="宋体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</w:rPr>
        <w:t>2020</w:t>
      </w:r>
      <w:r>
        <w:rPr>
          <w:rFonts w:ascii="宋体" w:eastAsia="宋体" w:hAnsi="宋体" w:cs="宋体"/>
          <w:color w:val="000000"/>
        </w:rPr>
        <w:t>年粮食主产区的分布不断发生变化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为提高农业生态效率，下列措施可采用的是（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大量施用化肥，提升作物产量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大力兴修深机井，增加农业灌溉用水量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实施家庭经营，增加种植面积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提高智能管理水平，实施耕地集约经营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为了修复和保护海洋生态环境，提高海洋牧场综合效益，海南某国家级海洋牧场示范区在投放人工鱼礁的同时，也投放了少量景观礁。景观礁是一种经艺术设计处理后，模拟天然礁体的纹理、结构，采用环保材料构建的水下人工礁体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景观礁直接改变了投放地（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底层海水的温度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底层海水的密度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底层海水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盐度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底层海水的流速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与人工鱼礁相比，景观礁（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海洋生物栖息地功能较强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功能多元化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更利于海洋生态系统保护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形态较单一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天气图是气象部门分析和预报天气的重要工具。下图为亚洲东部地区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楷体" w:eastAsia="楷体" w:hAnsi="楷体" w:cs="楷体"/>
          <w:color w:val="000000"/>
        </w:rPr>
        <w:t>月某日地面天气示意图。据此完成下面小题。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52775" cy="27717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图中乙区域温带气旋后续最有可能的移动方向是（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东南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东北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西南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西北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当甲区域高压、乙区域低压进一步加强，丙区域会出现（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西北风加强，气压梯度变小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西南风加强，形成强降水过程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西南风加强，温度变幅平缓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西北风加强，气温进一步降低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随着新能源汽车技术的进步，中国汽车产业不断开启新的发展空间，已形成研发—生产—服务为一体的产业链，并在全国多个城市进行了布局。下表是某知名新能源汽车部分供应链分类及零部件组成。据此完成下面小题。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86"/>
        <w:gridCol w:w="5167"/>
        <w:gridCol w:w="1462"/>
        <w:gridCol w:w="1815"/>
      </w:tblGrid>
      <w:tr>
        <w:tblPrEx>
          <w:tblW w:w="8325" w:type="dxa"/>
        </w:tblPrEx>
        <w:trPr>
          <w:cantSplit w:val="0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生产系统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零部件类型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主要产品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供应商分支机构位置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4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智能电子电器</w:t>
            </w:r>
          </w:p>
        </w:tc>
        <w:tc>
          <w:tcPr>
            <w:tcW w:w="26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智能驾驶辅助系统、智能座舱、中控屏、摄像头、整车控制器等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智能座舱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成都、上海等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自动驾驶系统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西安、中山等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工模组件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淮南、宣城等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4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电池与电驱动</w:t>
            </w:r>
          </w:p>
        </w:tc>
        <w:tc>
          <w:tcPr>
            <w:tcW w:w="26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发动机、电机、电控、变速器、电解液、隔膜等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电机、发动机等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东莞、贵阳等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涡轮增压器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苏州、马鞍山等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电解液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泰兴、无锡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表中分支机构在该新能源汽车产业链中处于（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研发环节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生产环节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服务环节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销售环节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表中各分支机构所在城市具有的共同特点是（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产业基础良好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原材料较充足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科研机构云集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能源资源丰富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有学者长期研究滑坡体上植物的生长状况，发现滑坡引起的滑坡体上树木生长所需营养再分配，会引发树木年轮的生长反应，导致树轮宽度的突变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楷体" w:eastAsia="楷体" w:hAnsi="楷体" w:cs="楷体"/>
          <w:color w:val="000000"/>
        </w:rPr>
        <w:t>增长量超过规定值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楷体" w:eastAsia="楷体" w:hAnsi="楷体" w:cs="楷体"/>
          <w:color w:val="000000"/>
        </w:rPr>
        <w:t>，即为生长释放和生长抑制。下图示意某地滑坡体上某棵典型树木的年轮宽度逐年增长量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楷体" w:eastAsia="楷体" w:hAnsi="楷体" w:cs="楷体"/>
          <w:color w:val="000000"/>
        </w:rPr>
        <w:t>排除滑坡体外的其他因素影响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楷体" w:eastAsia="楷体" w:hAnsi="楷体" w:cs="楷体"/>
          <w:color w:val="000000"/>
        </w:rPr>
        <w:t>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76525" cy="14097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图中所示期间，该树木出现生长释放的次数是（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在滑坡运动后，该地树木出现了显著生长抑制，可能是因为滑坡体（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大致保持原有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结构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下滑速度缓慢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土壤被挤压得更紧实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土壤养分增加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2024</w:t>
      </w:r>
      <w:r>
        <w:rPr>
          <w:rFonts w:ascii="楷体" w:eastAsia="楷体" w:hAnsi="楷体" w:cs="楷体"/>
          <w:color w:val="000000"/>
        </w:rPr>
        <w:t>非洲旅游大会于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楷体" w:eastAsia="楷体" w:hAnsi="楷体" w:cs="楷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 xml:space="preserve">14 </w:t>
      </w:r>
      <w:r>
        <w:rPr>
          <w:rFonts w:ascii="楷体" w:eastAsia="楷体" w:hAnsi="楷体" w:cs="楷体"/>
          <w:color w:val="000000"/>
        </w:rPr>
        <w:t>日——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楷体" w:eastAsia="楷体" w:hAnsi="楷体" w:cs="楷体"/>
          <w:color w:val="000000"/>
        </w:rPr>
        <w:t>日在南非海滨城市德班</w:t>
      </w:r>
      <w:r>
        <w:rPr>
          <w:rFonts w:ascii="Times New Roman" w:eastAsia="Times New Roman" w:hAnsi="Times New Roman" w:cs="Times New Roman"/>
          <w:color w:val="000000"/>
        </w:rPr>
        <w:t>(29</w:t>
      </w:r>
      <w:r>
        <w:rPr>
          <w:rFonts w:ascii="楷体" w:eastAsia="楷体" w:hAnsi="楷体" w:cs="楷体"/>
          <w:color w:val="000000"/>
        </w:rPr>
        <w:t>°</w:t>
      </w:r>
      <w:r>
        <w:rPr>
          <w:rFonts w:ascii="Times New Roman" w:eastAsia="Times New Roman" w:hAnsi="Times New Roman" w:cs="Times New Roman"/>
          <w:color w:val="000000"/>
        </w:rPr>
        <w:t>52'S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31</w:t>
      </w:r>
      <w:r>
        <w:rPr>
          <w:rFonts w:ascii="楷体" w:eastAsia="楷体" w:hAnsi="楷体" w:cs="楷体"/>
          <w:color w:val="000000"/>
        </w:rPr>
        <w:t>°</w:t>
      </w:r>
      <w:r>
        <w:rPr>
          <w:rFonts w:ascii="Times New Roman" w:eastAsia="Times New Roman" w:hAnsi="Times New Roman" w:cs="Times New Roman"/>
          <w:color w:val="000000"/>
        </w:rPr>
        <w:t xml:space="preserve">02'E) </w:t>
      </w:r>
      <w:r>
        <w:rPr>
          <w:rFonts w:ascii="楷体" w:eastAsia="楷体" w:hAnsi="楷体" w:cs="楷体"/>
          <w:color w:val="000000"/>
        </w:rPr>
        <w:t>召开。同年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楷体" w:eastAsia="楷体" w:hAnsi="楷体" w:cs="楷体"/>
          <w:color w:val="000000"/>
        </w:rPr>
        <w:t>月，在第</w:t>
      </w: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楷体" w:eastAsia="楷体" w:hAnsi="楷体" w:cs="楷体"/>
          <w:color w:val="000000"/>
        </w:rPr>
        <w:t>个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中国旅游日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到来之际，海南自贸港向全球媒体发出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你好中国·阳光海南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的邀请，某记者在德班会议结束后辗转</w:t>
      </w:r>
      <w:r>
        <w:rPr>
          <w:rFonts w:ascii="Times New Roman" w:eastAsia="Times New Roman" w:hAnsi="Times New Roman" w:cs="Times New Roman"/>
          <w:color w:val="000000"/>
        </w:rPr>
        <w:t xml:space="preserve"> 18 </w:t>
      </w:r>
      <w:r>
        <w:rPr>
          <w:rFonts w:ascii="楷体" w:eastAsia="楷体" w:hAnsi="楷体" w:cs="楷体"/>
          <w:color w:val="000000"/>
        </w:rPr>
        <w:t>个小时到达上海</w:t>
      </w:r>
      <w:r>
        <w:rPr>
          <w:rFonts w:ascii="Times New Roman" w:eastAsia="Times New Roman" w:hAnsi="Times New Roman" w:cs="Times New Roman"/>
          <w:color w:val="000000"/>
        </w:rPr>
        <w:t>(31</w:t>
      </w:r>
      <w:r>
        <w:rPr>
          <w:rFonts w:ascii="楷体" w:eastAsia="楷体" w:hAnsi="楷体" w:cs="楷体"/>
          <w:color w:val="000000"/>
        </w:rPr>
        <w:t>°</w:t>
      </w:r>
      <w:r>
        <w:rPr>
          <w:rFonts w:ascii="Times New Roman" w:eastAsia="Times New Roman" w:hAnsi="Times New Roman" w:cs="Times New Roman"/>
          <w:color w:val="000000"/>
        </w:rPr>
        <w:t>14'N</w:t>
      </w:r>
      <w:r>
        <w:rPr>
          <w:rFonts w:ascii="楷体" w:eastAsia="楷体" w:hAnsi="楷体" w:cs="楷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121</w:t>
      </w:r>
      <w:r>
        <w:rPr>
          <w:rFonts w:ascii="楷体" w:eastAsia="楷体" w:hAnsi="楷体" w:cs="楷体"/>
          <w:color w:val="000000"/>
        </w:rPr>
        <w:t>°</w:t>
      </w:r>
      <w:r>
        <w:rPr>
          <w:rFonts w:ascii="Times New Roman" w:eastAsia="Times New Roman" w:hAnsi="Times New Roman" w:cs="Times New Roman"/>
          <w:color w:val="000000"/>
        </w:rPr>
        <w:t>29'E)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楷体" w:eastAsia="楷体" w:hAnsi="楷体" w:cs="楷体"/>
          <w:color w:val="000000"/>
        </w:rPr>
        <w:t>而后再转机到达海口。据此完成下面小题。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如果该记者日出时分从德班出发，飞抵上海时看到的景象可能是（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旭日东升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日上三竿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夕阳西下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繁星点点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Times New Roman" w:eastAsia="Times New Roman" w:hAnsi="Times New Roman" w:cs="Times New Roman"/>
          <w:color w:val="000000"/>
        </w:rPr>
        <w:t>2024</w:t>
      </w:r>
      <w:r>
        <w:rPr>
          <w:rFonts w:ascii="宋体" w:eastAsia="宋体" w:hAnsi="宋体" w:cs="宋体"/>
          <w:color w:val="000000"/>
        </w:rPr>
        <w:t>非洲旅游大会会议期间（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上海日出东南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上海的昼长与德班的夜长大致相当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德班日落西南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德班的昼长与上海的昼长大致相当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非洲某大型种植园主观看了该记者发布的“海南自贸港”系列视频，出于产业发展目的，重点关注的可能是（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航天发射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雨林探秘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“蛟龙”入海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南繁育种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55</w:t>
      </w:r>
      <w:r>
        <w:rPr>
          <w:rFonts w:ascii="宋体" w:eastAsia="宋体" w:hAnsi="宋体" w:cs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阅读材料，完成下列要求。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我国与中东国家在能源领域长期保持紧密合作。近年来，双方在加快能源转型步伐的同时，发挥各自优势，大力推进能源合作向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新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逐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绿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，呈现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双向奔赴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的共赢局面。在共建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一带一路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倡议下，双方合作为全球能源的绿色转型提供有力支撑，构建以清洁能源为主导、多方受益的合作新格局。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从资源、环境角度，说明我国与中东国家能源合作的重要性。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阅读图文材料，完成下列要求。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刘家峡水库地处黄河上游的甘肃永靖县境内，于</w:t>
      </w:r>
      <w:r>
        <w:rPr>
          <w:rFonts w:ascii="Times New Roman" w:eastAsia="Times New Roman" w:hAnsi="Times New Roman" w:cs="Times New Roman"/>
          <w:color w:val="000000"/>
        </w:rPr>
        <w:t>1968</w:t>
      </w:r>
      <w:r>
        <w:rPr>
          <w:rFonts w:ascii="楷体" w:eastAsia="楷体" w:hAnsi="楷体" w:cs="楷体"/>
          <w:color w:val="000000"/>
        </w:rPr>
        <w:t>年建成蓄水，正常年份水位可高达</w:t>
      </w:r>
      <w:r>
        <w:rPr>
          <w:rFonts w:ascii="Times New Roman" w:eastAsia="Times New Roman" w:hAnsi="Times New Roman" w:cs="Times New Roman"/>
          <w:color w:val="000000"/>
        </w:rPr>
        <w:t>1735</w:t>
      </w:r>
      <w:r>
        <w:rPr>
          <w:rFonts w:ascii="楷体" w:eastAsia="楷体" w:hAnsi="楷体" w:cs="楷体"/>
          <w:color w:val="000000"/>
        </w:rPr>
        <w:t>米。在其库尾的黄河岸边有著名的世界文化遗产炳灵寺石窟，石窟主要分布在大寺沟崖壁上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楷体" w:eastAsia="楷体" w:hAnsi="楷体" w:cs="楷体"/>
          <w:color w:val="000000"/>
        </w:rPr>
        <w:t>下图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楷体" w:eastAsia="楷体" w:hAnsi="楷体" w:cs="楷体"/>
          <w:color w:val="000000"/>
        </w:rPr>
        <w:t>，由于泥沙淤积，大寺沟由最初的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形沟逐渐淤积成平地。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71725" cy="24288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指出大寺沟泥沙来源，并描述其淤积成平地的过程。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分析刘家峡水库对炳灵寺石窟文化遗产的影响。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阅读材料，完成下列要求。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《中华人民共和国海南自由贸易港法》明确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国家支持海南自由贸易港建设开放型生态型服务型产业体系，积极发展旅游业、现代服务业</w:t>
      </w:r>
      <w:r>
        <w:rPr>
          <w:rFonts w:ascii="宋体" w:eastAsia="宋体" w:hAnsi="宋体" w:cs="宋体"/>
          <w:color w:val="000000"/>
        </w:rPr>
        <w:t>”“</w:t>
      </w:r>
      <w:r>
        <w:rPr>
          <w:rFonts w:ascii="楷体" w:eastAsia="楷体" w:hAnsi="楷体" w:cs="楷体"/>
          <w:color w:val="000000"/>
        </w:rPr>
        <w:t>海南自由贸易港推进国际旅游消费中心建设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运用所学地理知识，为海南建设国际旅游消费中心提出合理化建议。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阅读图文材料，完成下列要求。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多年冻土分为上下两层，上层为夏融冬冻的活动层，下层为多年冻结层。随着全球变暖，多年冻土退化，表现为冻土温度升高、面积减小、冻土活动层厚度增加，以及季节性冻土融化期延长且冻结期缩短。下图所示为北极圈以北亚欧大陆的部分区域，区域内年降水量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楷体" w:eastAsia="楷体" w:hAnsi="楷体" w:cs="楷体"/>
          <w:color w:val="000000"/>
        </w:rPr>
        <w:t>—</w:t>
      </w:r>
      <w:r>
        <w:rPr>
          <w:rFonts w:ascii="Times New Roman" w:eastAsia="Times New Roman" w:hAnsi="Times New Roman" w:cs="Times New Roman"/>
          <w:color w:val="000000"/>
        </w:rPr>
        <w:t>600</w:t>
      </w:r>
      <w:r>
        <w:rPr>
          <w:rFonts w:ascii="楷体" w:eastAsia="楷体" w:hAnsi="楷体" w:cs="楷体"/>
          <w:color w:val="000000"/>
        </w:rPr>
        <w:t>毫米，多年冻土广布，冻土厚度西部大于东部。研究发现，近年来该区域冻土融水量增加，且东西部存在差异，冻土退化区植被生物量总体增加。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857625" cy="18764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描述图中区域森林和苔原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663217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217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空间分布特征。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说明材料所述冻土退化区植被生物量总体增加的原因。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判断图中区域西部、东部苔原分布区冻土融水量的差异，并分析其原因。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w:type="default" r:id="rId15"/>
      <w:footerReference w:type="default" r:id="rId16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header" Target="header1.xml" /><Relationship Id="rId16" Type="http://schemas.openxmlformats.org/officeDocument/2006/relationships/footer" Target="footer1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wmf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Relationship Id="rId2" Type="http://schemas.openxmlformats.org/officeDocument/2006/relationships/image" Target="media/image12.png" /><Relationship Id="rId3" Type="http://schemas.openxmlformats.org/officeDocument/2006/relationships/image" Target="media/image13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3851900414181376</dc:description>
  <cp:lastModifiedBy>学科网试题生产平台</cp:lastModifiedBy>
  <cp:revision>9</cp:revision>
  <dcterms:created xsi:type="dcterms:W3CDTF">2026-01-05T16:21:42Z</dcterms:created>
  <dcterms:modified xsi:type="dcterms:W3CDTF">2026-01-05T16:21:42Z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