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8"/>
        <w:bidi w:val="0"/>
      </w:pPr>
      <w:bookmarkStart w:id="0" w:name="_bookmark1"/>
      <w:bookmarkEnd w:id="0"/>
      <w:r>
        <w:t>2024年海南省普通高中学业水平选择性考试</w:t>
      </w:r>
    </w:p>
    <w:p>
      <w:pPr>
        <w:pStyle w:val="19"/>
        <w:bidi w:val="0"/>
      </w:pPr>
      <w:r>
        <w:t>地</w:t>
      </w:r>
      <w:r>
        <w:rPr>
          <w:rFonts w:hint="eastAsia"/>
          <w:lang w:val="en-US" w:eastAsia="zh-CN"/>
        </w:rPr>
        <w:t xml:space="preserve">    </w:t>
      </w:r>
      <w:r>
        <w:t>理</w:t>
      </w:r>
    </w:p>
    <w:p>
      <w:pPr>
        <w:pStyle w:val="17"/>
        <w:bidi w:val="0"/>
      </w:pPr>
      <w:r>
        <w:t>一、选择题：本题共15小题，每小题3分，共45分。在每小题给出的四个选项中，只有一项是符合题目要求的。</w:t>
      </w:r>
    </w:p>
    <w:p>
      <w:pPr>
        <w:pStyle w:val="4"/>
        <w:bidi w:val="0"/>
      </w:pPr>
      <w:r>
        <w:t>下表为2008-2020年南京市郊某乡村空间土地利用类型的变化情况。</w:t>
      </w:r>
      <w:r>
        <w:rPr>
          <w:rFonts w:ascii="Times New Roman" w:hAnsi="Times New Roman" w:eastAsia="宋体" w:cs="Times New Roman"/>
          <w:snapToGrid/>
          <w:color w:val="000000"/>
          <w:kern w:val="2"/>
          <w:sz w:val="24"/>
          <w:szCs w:val="20"/>
          <w:lang w:val="en-US" w:eastAsia="zh-CN" w:bidi="ar-SA"/>
        </w:rPr>
        <w:t>据此完成下面小题。</w:t>
      </w:r>
    </w:p>
    <w:tbl>
      <w:tblPr>
        <w:tblStyle w:val="10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44"/>
        <w:gridCol w:w="1611"/>
        <w:gridCol w:w="71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0" w:hRule="atLeast"/>
        </w:trPr>
        <w:tc>
          <w:tcPr>
            <w:tcW w:w="623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auto"/>
              </w:rPr>
              <w:t>时间</w:t>
            </w:r>
          </w:p>
        </w:tc>
        <w:tc>
          <w:tcPr>
            <w:tcW w:w="80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auto"/>
              </w:rPr>
              <w:t>乡村空间</w:t>
            </w:r>
          </w:p>
        </w:tc>
        <w:tc>
          <w:tcPr>
            <w:tcW w:w="35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auto"/>
              </w:rPr>
              <w:t>用地类型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75" w:hRule="atLeast"/>
        </w:trPr>
        <w:tc>
          <w:tcPr>
            <w:tcW w:w="623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="Times New Roman" w:hAnsi="Times New Roman" w:eastAsia="Times New Roman" w:cs="Times New Roman"/>
                <w:color w:val="auto"/>
              </w:rPr>
              <w:t>2008</w:t>
            </w:r>
            <w:r>
              <w:rPr>
                <w:rFonts w:ascii="楷体" w:hAnsi="楷体" w:eastAsia="楷体" w:cs="楷体"/>
                <w:color w:val="auto"/>
              </w:rPr>
              <w:t>年</w:t>
            </w:r>
          </w:p>
        </w:tc>
        <w:tc>
          <w:tcPr>
            <w:tcW w:w="807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="楷体" w:hAnsi="楷体" w:eastAsia="楷体" w:cs="楷体"/>
                <w:color w:val="auto"/>
              </w:rPr>
              <w:t>传统型</w:t>
            </w:r>
          </w:p>
        </w:tc>
        <w:tc>
          <w:tcPr>
            <w:tcW w:w="35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</w:pPr>
            <w:r>
              <w:rPr>
                <w:rFonts w:ascii="楷体" w:hAnsi="楷体" w:eastAsia="楷体" w:cs="楷体"/>
                <w:color w:val="auto"/>
              </w:rPr>
              <w:t>耕地，养殖坑塘等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35" w:hRule="atLeast"/>
        </w:trPr>
        <w:tc>
          <w:tcPr>
            <w:tcW w:w="623" w:type="pct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420"/>
              <w:jc w:val="left"/>
              <w:textAlignment w:val="baseline"/>
            </w:pPr>
          </w:p>
        </w:tc>
        <w:tc>
          <w:tcPr>
            <w:tcW w:w="807" w:type="pct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420"/>
              <w:jc w:val="left"/>
              <w:textAlignment w:val="baseline"/>
            </w:pPr>
          </w:p>
        </w:tc>
        <w:tc>
          <w:tcPr>
            <w:tcW w:w="35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</w:pPr>
            <w:r>
              <w:rPr>
                <w:rFonts w:ascii="楷体" w:hAnsi="楷体" w:eastAsia="楷体" w:cs="楷体"/>
                <w:color w:val="auto"/>
              </w:rPr>
              <w:t>农村宅基地和公共服务用地等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35" w:hRule="atLeast"/>
        </w:trPr>
        <w:tc>
          <w:tcPr>
            <w:tcW w:w="623" w:type="pct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420"/>
              <w:jc w:val="left"/>
              <w:textAlignment w:val="baseline"/>
            </w:pPr>
          </w:p>
        </w:tc>
        <w:tc>
          <w:tcPr>
            <w:tcW w:w="807" w:type="pct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420"/>
              <w:jc w:val="left"/>
              <w:textAlignment w:val="baseline"/>
            </w:pPr>
          </w:p>
        </w:tc>
        <w:tc>
          <w:tcPr>
            <w:tcW w:w="35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</w:pPr>
            <w:r>
              <w:rPr>
                <w:rFonts w:ascii="楷体" w:hAnsi="楷体" w:eastAsia="楷体" w:cs="楷体"/>
                <w:color w:val="auto"/>
              </w:rPr>
              <w:t>林地，水域等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0" w:hRule="atLeast"/>
        </w:trPr>
        <w:tc>
          <w:tcPr>
            <w:tcW w:w="623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="Times New Roman" w:hAnsi="Times New Roman" w:eastAsia="Times New Roman" w:cs="Times New Roman"/>
                <w:color w:val="auto"/>
              </w:rPr>
              <w:t>2020</w:t>
            </w:r>
            <w:r>
              <w:rPr>
                <w:rFonts w:ascii="楷体" w:hAnsi="楷体" w:eastAsia="楷体" w:cs="楷体"/>
                <w:color w:val="auto"/>
              </w:rPr>
              <w:t>年</w:t>
            </w:r>
          </w:p>
        </w:tc>
        <w:tc>
          <w:tcPr>
            <w:tcW w:w="807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rPr>
                <w:rFonts w:ascii="楷体" w:hAnsi="楷体" w:eastAsia="楷体" w:cs="楷体"/>
                <w:color w:val="auto"/>
              </w:rPr>
              <w:t>新型复合型</w:t>
            </w:r>
          </w:p>
        </w:tc>
        <w:tc>
          <w:tcPr>
            <w:tcW w:w="35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</w:pPr>
            <w:r>
              <w:rPr>
                <w:rFonts w:ascii="楷体" w:hAnsi="楷体" w:eastAsia="楷体" w:cs="楷体"/>
                <w:color w:val="auto"/>
              </w:rPr>
              <w:t>家庭式旅游餐饮用地，购物用地，娱乐用地等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35" w:hRule="atLeast"/>
        </w:trPr>
        <w:tc>
          <w:tcPr>
            <w:tcW w:w="623" w:type="pct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420"/>
              <w:jc w:val="left"/>
              <w:textAlignment w:val="baseline"/>
            </w:pPr>
          </w:p>
        </w:tc>
        <w:tc>
          <w:tcPr>
            <w:tcW w:w="807" w:type="pct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420"/>
              <w:jc w:val="left"/>
              <w:textAlignment w:val="baseline"/>
            </w:pPr>
          </w:p>
        </w:tc>
        <w:tc>
          <w:tcPr>
            <w:tcW w:w="35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</w:pPr>
            <w:r>
              <w:rPr>
                <w:rFonts w:ascii="楷体" w:hAnsi="楷体" w:eastAsia="楷体" w:cs="楷体"/>
                <w:color w:val="auto"/>
              </w:rPr>
              <w:t>旅游活动的水域，林地，耕地等</w:t>
            </w:r>
          </w:p>
        </w:tc>
      </w:tr>
    </w:tbl>
    <w:p>
      <w:pPr>
        <w:bidi w:val="0"/>
      </w:pPr>
      <w:r>
        <w:t>1. 2008年以来，该村产业发展方向为（   ）</w:t>
      </w:r>
    </w:p>
    <w:p>
      <w:pPr>
        <w:pStyle w:val="13"/>
        <w:bidi w:val="0"/>
      </w:pPr>
      <w:r>
        <w:t>A. 林业</w:t>
      </w:r>
      <w:r>
        <w:tab/>
      </w:r>
      <w:r>
        <w:rPr>
          <w:rFonts w:hint="eastAsia"/>
          <w:lang w:val="en-US" w:eastAsia="zh-CN"/>
        </w:rPr>
        <w:tab/>
      </w:r>
      <w:r>
        <w:t>B. 特色种植业</w:t>
      </w:r>
    </w:p>
    <w:p>
      <w:pPr>
        <w:pStyle w:val="13"/>
        <w:bidi w:val="0"/>
      </w:pPr>
      <w:r>
        <w:t>C. 乡村旅游业</w:t>
      </w:r>
      <w:r>
        <w:tab/>
      </w:r>
      <w:r>
        <w:rPr>
          <w:rFonts w:hint="eastAsia"/>
          <w:lang w:val="en-US" w:eastAsia="zh-CN"/>
        </w:rPr>
        <w:tab/>
      </w:r>
      <w:r>
        <w:t>D. 小商品加工业</w:t>
      </w:r>
    </w:p>
    <w:p>
      <w:pPr>
        <w:bidi w:val="0"/>
      </w:pPr>
      <w:r>
        <w:t>2. 下列对2008-2020年该村空间功能变化</w:t>
      </w:r>
      <w:r>
        <w:rPr>
          <w:rFonts w:hint="eastAsia"/>
          <w:lang w:val="en-US" w:eastAsia="zh-CN"/>
        </w:rPr>
        <w:t>的</w:t>
      </w:r>
      <w:r>
        <w:t>叙述，正确的是（   ）</w:t>
      </w:r>
    </w:p>
    <w:p>
      <w:pPr>
        <w:pStyle w:val="13"/>
        <w:bidi w:val="0"/>
      </w:pPr>
      <w:r>
        <w:t>A. 土地功能单一化</w:t>
      </w:r>
      <w:r>
        <w:tab/>
      </w:r>
    </w:p>
    <w:p>
      <w:pPr>
        <w:pStyle w:val="13"/>
        <w:bidi w:val="0"/>
      </w:pPr>
      <w:r>
        <w:t>B. 家庭式旅游餐饮用地功能生产-生活复合化</w:t>
      </w:r>
    </w:p>
    <w:p>
      <w:pPr>
        <w:pStyle w:val="13"/>
        <w:bidi w:val="0"/>
      </w:pPr>
      <w:r>
        <w:t>C. 各功能用地界线逐渐明显</w:t>
      </w:r>
    </w:p>
    <w:p>
      <w:pPr>
        <w:pStyle w:val="13"/>
        <w:bidi w:val="0"/>
      </w:pPr>
      <w:r>
        <w:t>D. 水域，林地功能生活-生态复合化</w:t>
      </w:r>
    </w:p>
    <w:p>
      <w:pPr>
        <w:pStyle w:val="4"/>
        <w:bidi w:val="0"/>
      </w:pPr>
      <w:r>
        <w:t>赏花经济是指基于当地传统的农业产业或种植（引种）新的开花植物，形成具有一定规模并能吸引游客的产业形态。其内涵已经不再是传统意义的</w:t>
      </w:r>
      <w:r>
        <w:rPr>
          <w:rFonts w:hint="eastAsia"/>
        </w:rPr>
        <w:t>“</w:t>
      </w:r>
      <w:r>
        <w:t>靠花吃花</w:t>
      </w:r>
      <w:r>
        <w:rPr>
          <w:rFonts w:hint="eastAsia" w:ascii="楷体" w:hAnsi="楷体" w:eastAsia="楷体" w:cs="楷体"/>
        </w:rPr>
        <w:t>”</w:t>
      </w:r>
      <w:r>
        <w:t>，而是促进赏花与其它产业融合发展。</w:t>
      </w:r>
      <w:r>
        <w:rPr>
          <w:rFonts w:ascii="Times New Roman" w:hAnsi="Times New Roman" w:eastAsia="宋体" w:cs="Times New Roman"/>
          <w:snapToGrid/>
          <w:color w:val="000000"/>
          <w:kern w:val="2"/>
          <w:sz w:val="24"/>
          <w:szCs w:val="20"/>
          <w:lang w:val="en-US" w:eastAsia="zh-CN" w:bidi="ar-SA"/>
        </w:rPr>
        <w:t>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与传统的“靠花吃花”相比，赏花经济（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产品附加值低</w:t>
      </w:r>
      <w:r>
        <w:tab/>
      </w:r>
      <w:r>
        <w:rPr>
          <w:rFonts w:hint="eastAsia"/>
          <w:lang w:val="en-US" w:eastAsia="zh-CN"/>
        </w:rPr>
        <w:tab/>
      </w:r>
      <w:r>
        <w:t>B. 投资成本较低</w:t>
      </w:r>
    </w:p>
    <w:p>
      <w:pPr>
        <w:pStyle w:val="13"/>
        <w:bidi w:val="0"/>
      </w:pPr>
      <w:r>
        <w:t>C. 产业结构单一</w:t>
      </w:r>
      <w:r>
        <w:tab/>
      </w:r>
      <w:r>
        <w:rPr>
          <w:rFonts w:hint="eastAsia"/>
          <w:lang w:val="en-US" w:eastAsia="zh-CN"/>
        </w:rPr>
        <w:tab/>
      </w:r>
      <w:r>
        <w:t>D. 产业链条较长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大面积引种开花植物时，下列因素中需首先考虑的是（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气候适宜性</w:t>
      </w:r>
      <w:r>
        <w:tab/>
      </w:r>
      <w:r>
        <w:rPr>
          <w:rFonts w:hint="eastAsia"/>
          <w:lang w:val="en-US" w:eastAsia="zh-CN"/>
        </w:rPr>
        <w:tab/>
      </w:r>
      <w:r>
        <w:t>B. 交通便利性</w:t>
      </w:r>
    </w:p>
    <w:p>
      <w:pPr>
        <w:pStyle w:val="13"/>
        <w:bidi w:val="0"/>
      </w:pPr>
      <w:r>
        <w:t>C. 花期长短</w:t>
      </w:r>
      <w:r>
        <w:tab/>
      </w:r>
      <w:r>
        <w:rPr>
          <w:rFonts w:hint="eastAsia"/>
          <w:lang w:val="en-US" w:eastAsia="zh-CN"/>
        </w:rPr>
        <w:tab/>
      </w:r>
      <w:r>
        <w:t>D. 居民收入</w:t>
      </w:r>
    </w:p>
    <w:p>
      <w:pPr>
        <w:pStyle w:val="4"/>
        <w:bidi w:val="0"/>
      </w:pPr>
      <w:r>
        <w:t>在水平大气分布均匀的甲，乙两地，各选取一个空气柱（图）。两地由于地面受热不均产生空气运动，图中箭头指示其运动方向。</w:t>
      </w:r>
      <w:r>
        <w:rPr>
          <w:rFonts w:ascii="Times New Roman" w:hAnsi="Times New Roman" w:eastAsia="宋体" w:cs="Times New Roman"/>
          <w:snapToGrid/>
          <w:color w:val="000000"/>
          <w:kern w:val="2"/>
          <w:sz w:val="24"/>
          <w:szCs w:val="20"/>
          <w:lang w:val="en-US" w:eastAsia="zh-CN" w:bidi="ar-SA"/>
        </w:rPr>
        <w:t>据此完成下面小题。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32330" cy="1307465"/>
            <wp:effectExtent l="0" t="0" r="1270" b="6985"/>
            <wp:docPr id="100003" name="图片 100003" descr="学科网(www.zxxk.com)--教育资源门户，提供试卷、教案、课件、论文、素材以及各类教学资源下载，还有大量而丰富的教学相关资讯！ eOwNHMtg1tRe8UOExchyl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eOwNHMtg1tRe8UOExchylA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t>5. 假设空气柱内气流没有水平位移，则图中气压（   ）</w:t>
      </w:r>
    </w:p>
    <w:p>
      <w:pPr>
        <w:pStyle w:val="13"/>
        <w:bidi w:val="0"/>
      </w:pPr>
      <w:r>
        <w:t>A. ①&gt;②</w:t>
      </w:r>
      <w:r>
        <w:tab/>
      </w:r>
      <w:r>
        <w:rPr>
          <w:rFonts w:hint="eastAsia"/>
          <w:lang w:val="en-US" w:eastAsia="zh-CN"/>
        </w:rPr>
        <w:tab/>
      </w:r>
      <w:r>
        <w:t>B. ②&gt;④</w:t>
      </w:r>
    </w:p>
    <w:p>
      <w:pPr>
        <w:pStyle w:val="13"/>
        <w:bidi w:val="0"/>
      </w:pPr>
      <w:r>
        <w:t>C. ①=②</w:t>
      </w:r>
      <w:r>
        <w:tab/>
      </w:r>
      <w:r>
        <w:rPr>
          <w:rFonts w:hint="eastAsia"/>
          <w:lang w:val="en-US" w:eastAsia="zh-CN"/>
        </w:rPr>
        <w:tab/>
      </w:r>
      <w:r>
        <w:t>D. ③=④</w:t>
      </w:r>
    </w:p>
    <w:p>
      <w:pPr>
        <w:bidi w:val="0"/>
      </w:pPr>
      <w:r>
        <w:t>6. 实际情况下，空气在近地面和上空某高度产生辐合或辐散，图中气流在（   ）</w:t>
      </w:r>
    </w:p>
    <w:p>
      <w:pPr>
        <w:pStyle w:val="13"/>
        <w:bidi w:val="0"/>
      </w:pPr>
      <w:r>
        <w:t>A. ①处辐散</w:t>
      </w:r>
      <w:r>
        <w:tab/>
      </w:r>
      <w:r>
        <w:rPr>
          <w:rFonts w:hint="eastAsia"/>
          <w:lang w:val="en-US" w:eastAsia="zh-CN"/>
        </w:rPr>
        <w:tab/>
      </w:r>
      <w:r>
        <w:t>B. ②处辐散</w:t>
      </w:r>
    </w:p>
    <w:p>
      <w:pPr>
        <w:pStyle w:val="13"/>
        <w:bidi w:val="0"/>
      </w:pPr>
      <w:r>
        <w:t>C. ③处辐合</w:t>
      </w:r>
      <w:r>
        <w:tab/>
      </w:r>
      <w:r>
        <w:rPr>
          <w:rFonts w:hint="eastAsia"/>
          <w:lang w:val="en-US" w:eastAsia="zh-CN"/>
        </w:rPr>
        <w:tab/>
      </w:r>
      <w:r>
        <w:t>D. ④处辐散</w:t>
      </w:r>
    </w:p>
    <w:p>
      <w:pPr>
        <w:pStyle w:val="4"/>
        <w:bidi w:val="0"/>
      </w:pPr>
      <w:r>
        <w:t>2020年4月，国务院批准海南省三沙市设西沙区，南沙区。西沙区人民政府驻永兴岛，南沙区人民政府驻永暑礁。图为南沙区海马滩，万安滩，曾母暗沙三岛礁位置图。</w:t>
      </w:r>
      <w:r>
        <w:rPr>
          <w:rFonts w:ascii="Times New Roman" w:hAnsi="Times New Roman" w:eastAsia="宋体" w:cs="Times New Roman"/>
          <w:snapToGrid/>
          <w:color w:val="000000"/>
          <w:kern w:val="2"/>
          <w:sz w:val="24"/>
          <w:szCs w:val="20"/>
          <w:lang w:val="en-US" w:eastAsia="zh-CN" w:bidi="ar-SA"/>
        </w:rPr>
        <w:t>据此完成下面小题。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93265" cy="2386965"/>
            <wp:effectExtent l="0" t="0" r="6985" b="13335"/>
            <wp:docPr id="100005" name="图片 100005" descr="学科网(www.zxxk.com)--教育资源门户，提供试卷、教案、课件、论文、素材以及各类教学资源下载，还有大量而丰富的教学相关资讯！ eOwNHMtg1tRe8UOExchyl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eOwNHMtg1tRe8UOExchylA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t>7. 一年内，三岛礁相比（   ）</w:t>
      </w:r>
    </w:p>
    <w:p>
      <w:pPr>
        <w:pStyle w:val="13"/>
        <w:bidi w:val="0"/>
      </w:pPr>
      <w:r>
        <w:t>A. 曾母暗沙的太阳直射次数最多</w:t>
      </w:r>
      <w:r>
        <w:tab/>
      </w:r>
      <w:r>
        <w:t>B. 万安滩的昼长始终最长</w:t>
      </w:r>
    </w:p>
    <w:p>
      <w:pPr>
        <w:pStyle w:val="13"/>
        <w:bidi w:val="0"/>
      </w:pPr>
      <w:r>
        <w:t>C. 海马滩正午太阳高度角变化幅度最大</w:t>
      </w:r>
      <w:r>
        <w:tab/>
      </w:r>
      <w:r>
        <w:t>D. 万安滩的昼夜长短变化最小</w:t>
      </w:r>
    </w:p>
    <w:p>
      <w:pPr>
        <w:bidi w:val="0"/>
      </w:pPr>
      <w:r>
        <w:t>8. 中国海警执法船在元旦期间从永暑礁出发到曾母暗沙执行公务。下列叙述正确的是（   ）</w:t>
      </w:r>
    </w:p>
    <w:p>
      <w:pPr>
        <w:pStyle w:val="13"/>
        <w:bidi w:val="0"/>
      </w:pPr>
      <w:r>
        <w:t>A. 出发地寒意正浓</w:t>
      </w:r>
      <w:r>
        <w:tab/>
      </w:r>
      <w:r>
        <w:rPr>
          <w:rFonts w:hint="eastAsia"/>
          <w:lang w:val="en-US" w:eastAsia="zh-CN"/>
        </w:rPr>
        <w:tab/>
      </w:r>
      <w:r>
        <w:t>B. 沿途礁栖生物多</w:t>
      </w:r>
    </w:p>
    <w:p>
      <w:pPr>
        <w:pStyle w:val="13"/>
        <w:bidi w:val="0"/>
      </w:pPr>
      <w:r>
        <w:t>C. 途中北极星位于头顶</w:t>
      </w:r>
      <w:r>
        <w:tab/>
      </w:r>
      <w:r>
        <w:t>D. 抵达时遭遇台风天气</w:t>
      </w:r>
    </w:p>
    <w:p>
      <w:pPr>
        <w:pStyle w:val="4"/>
        <w:bidi w:val="0"/>
      </w:pPr>
      <w:r>
        <w:t>南极冰盖（不包括冰架）面积占全球陆地总面积的8.3%，冰储量约3.0×107km</w:t>
      </w:r>
      <w:r>
        <w:rPr>
          <w:vertAlign w:val="superscript"/>
        </w:rPr>
        <w:t>3</w:t>
      </w:r>
      <w:r>
        <w:t>，平均厚度约2100m（下图）。虽然冰盖表面气温很低，但冰盖底部温度相对较高，底部会融化，形成冰下湖泊。地球上大多数冰山来源于南极冰川，南极洲周围大洋冰山的总量约20万座。</w:t>
      </w:r>
      <w:r>
        <w:rPr>
          <w:rFonts w:ascii="Times New Roman" w:hAnsi="Times New Roman" w:eastAsia="宋体" w:cs="Times New Roman"/>
          <w:snapToGrid/>
          <w:color w:val="000000"/>
          <w:kern w:val="2"/>
          <w:sz w:val="24"/>
          <w:szCs w:val="20"/>
          <w:lang w:val="en-US" w:eastAsia="zh-CN" w:bidi="ar-SA"/>
        </w:rPr>
        <w:t>据此完成下面小题。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68930" cy="1459865"/>
            <wp:effectExtent l="0" t="0" r="7620" b="6985"/>
            <wp:docPr id="100007" name="图片 100007" descr="学科网(www.zxxk.com)--教育资源门户，提供试卷、教案、课件、论文、素材以及各类教学资源下载，还有大量而丰富的教学相关资讯！ eOwNHMtg1tRe8UOExchyl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eOwNHMtg1tRe8UOExchylA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关于图所示冰下湖泊</w:t>
      </w:r>
      <w:r>
        <w:rPr>
          <w:rFonts w:hint="eastAsia" w:ascii="宋体" w:hAnsi="宋体" w:cs="宋体"/>
          <w:color w:val="000000"/>
          <w:lang w:val="en-US" w:eastAsia="zh-CN"/>
        </w:rPr>
        <w:t>的</w:t>
      </w:r>
      <w:r>
        <w:rPr>
          <w:rFonts w:ascii="宋体" w:hAnsi="宋体" w:eastAsia="宋体" w:cs="宋体"/>
          <w:color w:val="000000"/>
        </w:rPr>
        <w:t>说法，正确的是（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湖水参与海陆间水循环</w:t>
      </w:r>
      <w:r>
        <w:tab/>
      </w:r>
      <w:r>
        <w:t>B. 湖水盐度高于周围海洋</w:t>
      </w:r>
    </w:p>
    <w:p>
      <w:pPr>
        <w:pStyle w:val="13"/>
        <w:bidi w:val="0"/>
      </w:pPr>
      <w:r>
        <w:t>C. 湖泊中渔业资源丰富</w:t>
      </w:r>
      <w:r>
        <w:tab/>
      </w:r>
      <w:r>
        <w:t>D. 湖泊热量来源于太阳辐射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关于南极洲周围大洋冰山的说法，正确的是（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冰山融化导致海平面上升明显</w:t>
      </w:r>
      <w:r>
        <w:tab/>
      </w:r>
      <w:r>
        <w:t>B. 冰山融化改变了西风漂流的流向</w:t>
      </w:r>
    </w:p>
    <w:p>
      <w:pPr>
        <w:pStyle w:val="13"/>
        <w:bidi w:val="0"/>
      </w:pPr>
      <w:r>
        <w:t>C. 冰山周围海水可形成上升流</w:t>
      </w:r>
      <w:r>
        <w:tab/>
      </w:r>
      <w:r>
        <w:t>D. 冰山运动方向受极地东北风影响</w:t>
      </w:r>
    </w:p>
    <w:p>
      <w:pPr>
        <w:pStyle w:val="4"/>
        <w:bidi w:val="0"/>
      </w:pPr>
      <w:r>
        <w:t>为了解释坡度变化对河流地貌发育的影响，有人设计了理想化天平实验装置（下图），用于演示河流沉积作用和侵蚀作用过程，天平横杆上的刻度表示河流坡降与泥沙粒度的大小。以下为实验的部分过程，</w:t>
      </w:r>
      <w:r>
        <w:rPr>
          <w:rFonts w:ascii="Times New Roman" w:hAnsi="Times New Roman" w:eastAsia="宋体" w:cs="Times New Roman"/>
          <w:snapToGrid/>
          <w:color w:val="000000"/>
          <w:kern w:val="2"/>
          <w:sz w:val="24"/>
          <w:szCs w:val="20"/>
          <w:lang w:val="en-US" w:eastAsia="zh-CN" w:bidi="ar-SA"/>
        </w:rPr>
        <w:t>据此完成下面小题。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76525" cy="155257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 eOwNHMtg1tRe8UOExchyl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eOwNHMtg1tRe8UOExchylA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t>11. 实验第一步，水桶往右平移，指针向左偏转，示意河流（   ）</w:t>
      </w:r>
    </w:p>
    <w:p>
      <w:pPr>
        <w:pStyle w:val="13"/>
        <w:bidi w:val="0"/>
      </w:pPr>
      <w:r>
        <w:t>A. 坡降增大</w:t>
      </w:r>
      <w:r>
        <w:tab/>
      </w:r>
      <w:r>
        <w:rPr>
          <w:rFonts w:hint="eastAsia"/>
          <w:lang w:val="en-US" w:eastAsia="zh-CN"/>
        </w:rPr>
        <w:tab/>
      </w:r>
      <w:r>
        <w:t>B. 泥沙粒度减小</w:t>
      </w:r>
    </w:p>
    <w:p>
      <w:pPr>
        <w:pStyle w:val="13"/>
        <w:bidi w:val="0"/>
      </w:pPr>
      <w:r>
        <w:t>C. 流量增大</w:t>
      </w:r>
      <w:r>
        <w:tab/>
      </w:r>
      <w:r>
        <w:rPr>
          <w:rFonts w:hint="eastAsia"/>
          <w:lang w:val="en-US" w:eastAsia="zh-CN"/>
        </w:rPr>
        <w:tab/>
      </w:r>
      <w:r>
        <w:t>D. 沉积量增大</w:t>
      </w:r>
    </w:p>
    <w:p>
      <w:pPr>
        <w:bidi w:val="0"/>
      </w:pPr>
      <w:r>
        <w:t>12. 实验第二步，为使天平保持平衡，秤盘往左平移，示意河流（   ）</w:t>
      </w:r>
    </w:p>
    <w:p>
      <w:pPr>
        <w:pStyle w:val="13"/>
        <w:bidi w:val="0"/>
      </w:pPr>
      <w:r>
        <w:t>A. 水动力增大</w:t>
      </w:r>
      <w:r>
        <w:tab/>
      </w:r>
      <w:r>
        <w:rPr>
          <w:rFonts w:hint="eastAsia"/>
          <w:lang w:val="en-US" w:eastAsia="zh-CN"/>
        </w:rPr>
        <w:tab/>
      </w:r>
      <w:r>
        <w:t>B. 侵蚀作用增强</w:t>
      </w:r>
    </w:p>
    <w:p>
      <w:pPr>
        <w:pStyle w:val="13"/>
        <w:bidi w:val="0"/>
      </w:pPr>
      <w:r>
        <w:t>C. 流速增大</w:t>
      </w:r>
      <w:r>
        <w:tab/>
      </w:r>
      <w:r>
        <w:rPr>
          <w:rFonts w:hint="eastAsia"/>
          <w:lang w:val="en-US" w:eastAsia="zh-CN"/>
        </w:rPr>
        <w:tab/>
      </w:r>
      <w:r>
        <w:t>D. 泥沙粒度增大</w:t>
      </w:r>
    </w:p>
    <w:p>
      <w:pPr>
        <w:pStyle w:val="4"/>
        <w:bidi w:val="0"/>
      </w:pPr>
      <w:r>
        <w:t>碳汇是从大气中清除CO</w:t>
      </w:r>
      <w:r>
        <w:rPr>
          <w:vertAlign w:val="subscript"/>
        </w:rPr>
        <w:t>2</w:t>
      </w:r>
      <w:r>
        <w:t>，碳源是向大气中排放CO</w:t>
      </w:r>
      <w:r>
        <w:rPr>
          <w:vertAlign w:val="subscript"/>
        </w:rPr>
        <w:t>2</w:t>
      </w:r>
      <w:r>
        <w:t>，碳循环过程中地球系统内储存碳的载体称为碳库。图为北极地区陆地生态系统（虚线框内）碳循环示意图，该系统在碳循环过程中对气候的反应敏感。</w:t>
      </w:r>
      <w:r>
        <w:rPr>
          <w:rFonts w:ascii="Times New Roman" w:hAnsi="Times New Roman" w:eastAsia="宋体" w:cs="Times New Roman"/>
          <w:snapToGrid/>
          <w:color w:val="000000"/>
          <w:kern w:val="2"/>
          <w:sz w:val="24"/>
          <w:szCs w:val="20"/>
          <w:lang w:val="en-US" w:eastAsia="zh-CN" w:bidi="ar-SA"/>
        </w:rPr>
        <w:t>据此完成下面小题。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73070" cy="2002155"/>
            <wp:effectExtent l="0" t="0" r="17780" b="17145"/>
            <wp:docPr id="100011" name="图片 100011" descr="学科网(www.zxxk.com)--教育资源门户，提供试卷、教案、课件、论文、素材以及各类教学资源下载，还有大量而丰富的教学相关资讯！ eOwNHMtg1tRe8UOExchyl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eOwNHMtg1tRe8UOExchylA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t>13. 在北极地区陆地生态系统碳循环中（   ）</w:t>
      </w:r>
    </w:p>
    <w:p>
      <w:pPr>
        <w:pStyle w:val="13"/>
        <w:bidi w:val="0"/>
      </w:pPr>
      <w:r>
        <w:t>A. 生物光合作用对大气起着碳源作用</w:t>
      </w:r>
    </w:p>
    <w:p>
      <w:pPr>
        <w:pStyle w:val="13"/>
        <w:bidi w:val="0"/>
      </w:pPr>
      <w:r>
        <w:t>B. 土壤呼吸对大气起着碳汇作用</w:t>
      </w:r>
    </w:p>
    <w:p>
      <w:pPr>
        <w:pStyle w:val="13"/>
        <w:bidi w:val="0"/>
      </w:pPr>
      <w:r>
        <w:t>C. 该系统对大气起着净碳汇作用</w:t>
      </w:r>
    </w:p>
    <w:p>
      <w:pPr>
        <w:pStyle w:val="13"/>
        <w:bidi w:val="0"/>
      </w:pPr>
      <w:r>
        <w:t>D. 气温升高土壤碳排放减少</w:t>
      </w:r>
    </w:p>
    <w:p>
      <w:pPr>
        <w:bidi w:val="0"/>
      </w:pPr>
      <w:r>
        <w:t>14. 据图可知（   ）</w:t>
      </w:r>
      <w:bookmarkStart w:id="1" w:name="_GoBack"/>
      <w:bookmarkEnd w:id="1"/>
    </w:p>
    <w:p>
      <w:pPr>
        <w:pStyle w:val="13"/>
        <w:bidi w:val="0"/>
      </w:pPr>
      <w:r>
        <w:t>A. 陆地生态系统净固碳量为1.73×10</w:t>
      </w:r>
      <w:r>
        <w:rPr>
          <w:vertAlign w:val="superscript"/>
        </w:rPr>
        <w:t>9</w:t>
      </w:r>
      <w:r>
        <w:t>t/a</w:t>
      </w:r>
    </w:p>
    <w:p>
      <w:pPr>
        <w:pStyle w:val="13"/>
        <w:bidi w:val="0"/>
      </w:pPr>
      <w:r>
        <w:t>B. 陆地生态系统碳排放量为8.70×10</w:t>
      </w:r>
      <w:r>
        <w:rPr>
          <w:vertAlign w:val="superscript"/>
        </w:rPr>
        <w:t>9</w:t>
      </w:r>
      <w:r>
        <w:t>t/a</w:t>
      </w:r>
    </w:p>
    <w:p>
      <w:pPr>
        <w:pStyle w:val="13"/>
        <w:bidi w:val="0"/>
      </w:pPr>
      <w:r>
        <w:t>C. 生物净碳量</w:t>
      </w:r>
      <w:r>
        <w:rPr>
          <w:rFonts w:hint="eastAsia"/>
          <w:lang w:val="en-US" w:eastAsia="zh-CN"/>
        </w:rPr>
        <w:t>为</w:t>
      </w:r>
      <w:r>
        <w:t>13.50×10</w:t>
      </w:r>
      <w:r>
        <w:rPr>
          <w:vertAlign w:val="superscript"/>
        </w:rPr>
        <w:t>9</w:t>
      </w:r>
      <w:r>
        <w:t>t/a</w:t>
      </w:r>
    </w:p>
    <w:p>
      <w:pPr>
        <w:pStyle w:val="13"/>
        <w:bidi w:val="0"/>
      </w:pPr>
      <w:r>
        <w:t>D. 土壤碳排放量为2.97×10</w:t>
      </w:r>
      <w:r>
        <w:rPr>
          <w:vertAlign w:val="superscript"/>
        </w:rPr>
        <w:t>9</w:t>
      </w:r>
      <w:r>
        <w:t>t/a</w:t>
      </w:r>
    </w:p>
    <w:p>
      <w:pPr>
        <w:bidi w:val="0"/>
      </w:pPr>
      <w:r>
        <w:t>15. 在北极地区陆地生态系统中，土壤碳储量远高于其他碳储量的主要影响因素是（   ）</w:t>
      </w:r>
    </w:p>
    <w:p>
      <w:pPr>
        <w:pStyle w:val="13"/>
        <w:bidi w:val="0"/>
      </w:pPr>
      <w:r>
        <w:t>A. 地形</w:t>
      </w:r>
      <w:r>
        <w:tab/>
      </w:r>
      <w:r>
        <w:rPr>
          <w:rFonts w:hint="eastAsia"/>
          <w:lang w:val="en-US" w:eastAsia="zh-CN"/>
        </w:rPr>
        <w:tab/>
      </w:r>
      <w:r>
        <w:t>B. 气候</w:t>
      </w:r>
    </w:p>
    <w:p>
      <w:pPr>
        <w:pStyle w:val="13"/>
        <w:bidi w:val="0"/>
      </w:pPr>
      <w:r>
        <w:t>C. 生物</w:t>
      </w:r>
      <w:r>
        <w:tab/>
      </w:r>
      <w:r>
        <w:rPr>
          <w:rFonts w:hint="eastAsia"/>
          <w:lang w:val="en-US" w:eastAsia="zh-CN"/>
        </w:rPr>
        <w:tab/>
      </w:r>
      <w:r>
        <w:t>D. 水文</w:t>
      </w:r>
    </w:p>
    <w:p>
      <w:r>
        <w:br w:type="page"/>
      </w:r>
    </w:p>
    <w:p>
      <w:pPr>
        <w:pStyle w:val="17"/>
        <w:bidi w:val="0"/>
      </w:pPr>
      <w:r>
        <w:t>二、非选择题：本题共4小题，共55分。</w:t>
      </w:r>
    </w:p>
    <w:p>
      <w:pPr>
        <w:bidi w:val="0"/>
        <w:rPr>
          <w:rFonts w:hint="eastAsia" w:eastAsia="宋体"/>
          <w:lang w:eastAsia="zh-CN"/>
        </w:rPr>
      </w:pPr>
      <w:r>
        <w:t>16. 阅读材料，完成下列要求。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10分</w:t>
      </w:r>
      <w:r>
        <w:rPr>
          <w:rFonts w:hint="eastAsia"/>
          <w:lang w:eastAsia="zh-CN"/>
        </w:rPr>
        <w:t>）</w:t>
      </w:r>
    </w:p>
    <w:p>
      <w:pPr>
        <w:pStyle w:val="4"/>
        <w:bidi w:val="0"/>
      </w:pPr>
      <w:r>
        <w:t>西藏自治区昌都市位于青藏高原向藏东南高山峡谷过渡区和三江（金沙江，澜沧江，怒江）流域，具有高寒，干旱的环境特征。草地是其主要植被类型，平均气温在2.4-16.6℃之间。2000-2020年，该区域气温呈上升趋势，植被覆盖显著增加，蒸发蒸腾量变化趋势为3.76mm/a；年降水量约477.7mm，5-9月降水量占全年总降水量的77.9%-95.8%，年际变化不大；生态系统水资源供给量呈下降趋势，实际土壤侵蚀量呈增长趋势。</w:t>
      </w:r>
    </w:p>
    <w:p>
      <w:pPr>
        <w:bidi w:val="0"/>
        <w:rPr>
          <w:rFonts w:hint="eastAsia" w:eastAsia="宋体"/>
          <w:lang w:eastAsia="zh-CN"/>
        </w:rPr>
      </w:pPr>
      <w:r>
        <w:t>从自然环境整体性角度，分析气温升高对该区域植被，水分和土壤的影响。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="宋体"/>
          <w:lang w:eastAsia="zh-CN"/>
        </w:rPr>
      </w:pPr>
      <w:r>
        <w:t>17. 阅读图文材料，完成下列要求。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10分</w:t>
      </w:r>
      <w:r>
        <w:rPr>
          <w:rFonts w:hint="eastAsia"/>
          <w:lang w:eastAsia="zh-CN"/>
        </w:rPr>
        <w:t>）</w:t>
      </w:r>
    </w:p>
    <w:p>
      <w:pPr>
        <w:pStyle w:val="4"/>
        <w:bidi w:val="0"/>
      </w:pPr>
      <w:r>
        <w:t>石羊河流域位于河西走廊东部（左图），是我国西北地区气候变化敏感区和生态脆弱区。合理分配和利用水资源，对该流域生态环境的改善至关重要。右图为2005-2022年石羊河流域荒漠面积与人工输水量和年降水量变化图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00275" cy="2247900"/>
            <wp:effectExtent l="0" t="0" r="9525" b="0"/>
            <wp:docPr id="100013" name="图片 100013" descr="学科网(www.zxxk.com)--教育资源门户，提供试卷、教案、课件、论文、素材以及各类教学资源下载，还有大量而丰富的教学相关资讯！ eOwNHMtg1tRe8UOExchyl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eOwNHMtg1tRe8UOExchylA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3505200" cy="21717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eOwNHMtg1tRe8UOExchyl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eOwNHMtg1tRe8UOExchylA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eastAsia="宋体"/>
          <w:lang w:eastAsia="zh-CN"/>
        </w:rPr>
      </w:pPr>
      <w:r>
        <w:t>根据图文材料，分析石羊河流域生态环境的变化及原因。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="宋体"/>
          <w:lang w:eastAsia="zh-CN"/>
        </w:rPr>
      </w:pPr>
      <w:r>
        <w:t>18. 阅读图文材料，完成下列要求。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15分</w:t>
      </w:r>
      <w:r>
        <w:rPr>
          <w:rFonts w:hint="eastAsia"/>
          <w:lang w:eastAsia="zh-CN"/>
        </w:rPr>
        <w:t>）</w:t>
      </w:r>
    </w:p>
    <w:p>
      <w:pPr>
        <w:pStyle w:val="4"/>
        <w:bidi w:val="0"/>
      </w:pPr>
      <w:r>
        <w:t>粮食安全受生产，进出口和消费等诸多因素影响。2022年，中国进口谷物类（小麦，大麦，玉米，稻谷等）5319万吨和豆类9367万吨（其中大豆9108万吨，主要用于饲料和油料生产）。养殖肉鸡，肉鸭增重1公斤需消耗饲料约2公斤，养殖生猪增重1公斤需消耗饲料约3.5公斤。下图为2005-2021年我国主要谷物产量变化图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86275" cy="172402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 eOwNHMtg1tRe8UOExchyl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eOwNHMtg1tRe8UOExchylA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eastAsia="宋体"/>
          <w:lang w:eastAsia="zh-CN"/>
        </w:rPr>
      </w:pPr>
      <w:r>
        <w:t>（1）简述2005-2021年我国主要谷物总产量及构成的变化特点。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9分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="宋体"/>
          <w:lang w:eastAsia="zh-CN"/>
        </w:rPr>
      </w:pPr>
      <w:r>
        <w:t>（2）根据材料提出减少粮食消耗的合理建议。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/>
          <w:lang w:eastAsia="zh-CN"/>
        </w:rPr>
      </w:pPr>
      <w:r>
        <w:t>19. 阅读图文材料，完成下列要求。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20分</w:t>
      </w:r>
      <w:r>
        <w:rPr>
          <w:rFonts w:hint="eastAsia"/>
          <w:lang w:eastAsia="zh-CN"/>
        </w:rPr>
        <w:t>）</w:t>
      </w:r>
    </w:p>
    <w:p>
      <w:pPr>
        <w:pStyle w:val="4"/>
        <w:bidi w:val="0"/>
      </w:pPr>
      <w:r>
        <w:t>四川省攀枝花市位于横断山脉和云贵高原交界处，城区东西绵延70多公里（下图）。地形以山地为主，光照充足，年降水量为760-1200mm，海拔1400-1500m以下的河谷地区全年基本无冬。该市钒钛磁铁矿，煤矿等资源丰富，通过资源开发形成三个产业发展阶段（下表），是我国重要的钢铁基地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15155" cy="1394460"/>
            <wp:effectExtent l="0" t="0" r="4445" b="15240"/>
            <wp:docPr id="100019" name="图片 100019" descr="学科网(www.zxxk.com)--教育资源门户，提供试卷、教案、课件、论文、素材以及各类教学资源下载，还有大量而丰富的教学相关资讯！ eOwNHMtg1tRe8UOExchyl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eOwNHMtg1tRe8UOExchylA==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0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1"/>
        <w:gridCol w:w="77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2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发展阶段</w:t>
            </w:r>
          </w:p>
        </w:tc>
        <w:tc>
          <w:tcPr>
            <w:tcW w:w="38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产业发展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2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</w:t>
            </w:r>
            <w:r>
              <w:rPr>
                <w:rFonts w:ascii="楷体" w:hAnsi="楷体" w:eastAsia="楷体" w:cs="楷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1965—1989</w:t>
            </w:r>
            <w:r>
              <w:rPr>
                <w:rFonts w:ascii="楷体" w:hAnsi="楷体" w:eastAsia="楷体" w:cs="楷体"/>
                <w:color w:val="000000"/>
              </w:rPr>
              <w:t>年）</w:t>
            </w:r>
          </w:p>
        </w:tc>
        <w:tc>
          <w:tcPr>
            <w:tcW w:w="38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建成西南最大钢铁基地，形成煤炭、电力、水泥等关联产业以及相应的大型、特大型资源型企业。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2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II</w:t>
            </w:r>
            <w:r>
              <w:rPr>
                <w:rFonts w:ascii="楷体" w:hAnsi="楷体" w:eastAsia="楷体" w:cs="楷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1990—2004</w:t>
            </w:r>
            <w:r>
              <w:rPr>
                <w:rFonts w:ascii="楷体" w:hAnsi="楷体" w:eastAsia="楷体" w:cs="楷体"/>
                <w:color w:val="000000"/>
              </w:rPr>
              <w:t>年）</w:t>
            </w:r>
          </w:p>
        </w:tc>
        <w:tc>
          <w:tcPr>
            <w:tcW w:w="38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建设攀钢二期工程，两期国家农业综合开发，建成二滩水电站（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3.3×10</w:t>
            </w:r>
            <w:r>
              <w:rPr>
                <w:color w:val="000000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kW</w:t>
            </w:r>
            <w:r>
              <w:rPr>
                <w:rFonts w:ascii="楷体" w:hAnsi="楷体" w:eastAsia="楷体" w:cs="楷体"/>
                <w:color w:val="000000"/>
              </w:rPr>
              <w:t>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27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III</w:t>
            </w:r>
            <w:r>
              <w:rPr>
                <w:rFonts w:ascii="楷体" w:hAnsi="楷体" w:eastAsia="楷体" w:cs="楷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2005</w:t>
            </w:r>
            <w:r>
              <w:rPr>
                <w:rFonts w:ascii="楷体" w:hAnsi="楷体" w:eastAsia="楷体" w:cs="楷体"/>
                <w:color w:val="000000"/>
              </w:rPr>
              <w:t>年起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——</w:t>
            </w:r>
            <w:r>
              <w:rPr>
                <w:rFonts w:ascii="楷体" w:hAnsi="楷体" w:eastAsia="楷体" w:cs="楷体"/>
                <w:color w:val="000000"/>
              </w:rPr>
              <w:t>）</w:t>
            </w:r>
          </w:p>
        </w:tc>
        <w:tc>
          <w:tcPr>
            <w:tcW w:w="38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建设攀钢三期工程、国家级钒钛高新技术产业开发区，建成桐子林、金沙、银江水电站，实施屋顶光伏发电项目，建设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“</w:t>
            </w:r>
            <w:r>
              <w:rPr>
                <w:rFonts w:ascii="楷体" w:hAnsi="楷体" w:eastAsia="楷体" w:cs="楷体"/>
                <w:color w:val="000000"/>
              </w:rPr>
              <w:t>阳光花城，康养圣地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”</w:t>
            </w:r>
            <w:r>
              <w:rPr>
                <w:rFonts w:ascii="楷体" w:hAnsi="楷体" w:eastAsia="楷体" w:cs="楷体"/>
                <w:color w:val="000000"/>
              </w:rPr>
              <w:t>、中国三线建设博物馆等，获得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“</w:t>
            </w:r>
            <w:r>
              <w:rPr>
                <w:rFonts w:ascii="楷体" w:hAnsi="楷体" w:eastAsia="楷体" w:cs="楷体"/>
                <w:color w:val="000000"/>
              </w:rPr>
              <w:t>中国优秀旅游城市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”</w:t>
            </w:r>
            <w:r>
              <w:rPr>
                <w:rFonts w:ascii="楷体" w:hAnsi="楷体" w:eastAsia="楷体" w:cs="楷体"/>
                <w:color w:val="000000"/>
              </w:rPr>
              <w:t>称号</w:t>
            </w:r>
          </w:p>
        </w:tc>
      </w:tr>
    </w:tbl>
    <w:p>
      <w:pPr>
        <w:bidi w:val="0"/>
        <w:rPr>
          <w:rFonts w:hint="eastAsia" w:eastAsia="宋体"/>
          <w:lang w:eastAsia="zh-CN"/>
        </w:rPr>
      </w:pPr>
      <w:r>
        <w:t>（1）描述攀枝花市城市布局的形态，并分析其原因。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="宋体"/>
          <w:lang w:eastAsia="zh-CN"/>
        </w:rPr>
      </w:pPr>
      <w:r>
        <w:t>（2）分别列举攀枝花市三个发展阶段开发利用的主要资源类型。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="宋体"/>
          <w:lang w:eastAsia="zh-CN"/>
        </w:rPr>
      </w:pPr>
      <w:r>
        <w:t>（3）简述攀枝花市在城市转型发展方面所采取的主要措施。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8分</w:t>
      </w:r>
      <w:r>
        <w:rPr>
          <w:rFonts w:hint="eastAsia"/>
          <w:lang w:eastAsia="zh-CN"/>
        </w:rPr>
        <w:t>）</w:t>
      </w:r>
    </w:p>
    <w:p>
      <w:pPr>
        <w:bidi w:val="0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rPr>
          <w:rFonts w:hint="eastAsia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080" w:bottom="1440" w:left="1080" w:header="851" w:footer="68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EU-BZ-S92">
    <w:altName w:val="宋体"/>
    <w:panose1 w:val="03000502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hd w:val="clear"/>
      <w:jc w:val="center"/>
      <w:rPr>
        <w:rFonts w:hint="default" w:eastAsia="宋体"/>
        <w:color w:val="auto"/>
        <w:sz w:val="20"/>
        <w:szCs w:val="20"/>
        <w:highlight w:val="none"/>
        <w:shd w:val="clear"/>
        <w:lang w:val="en-US" w:eastAsia="zh-CN"/>
      </w:rPr>
    </w:pPr>
    <w:r>
      <w:rPr>
        <w:color w:val="auto"/>
        <w:sz w:val="20"/>
        <w:szCs w:val="20"/>
        <w:highlight w:val="none"/>
        <w:shd w:val="clear"/>
      </w:rPr>
      <w:pict>
        <v:shape id="_x0000_s4098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auto"/>
        <w:sz w:val="20"/>
        <w:szCs w:val="20"/>
        <w:highlight w:val="none"/>
        <w:shd w:val="clear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7" name="图片 5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53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rFonts w:hint="eastAsia" w:eastAsia="宋体"/>
        <w:sz w:val="2"/>
        <w:szCs w:val="2"/>
        <w:lang w:val="en-US" w:eastAsia="zh-CN"/>
      </w:rPr>
    </w:pPr>
    <w:r>
      <w:rPr>
        <w:sz w:val="18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5" name="图片 51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1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isplayBackgroundShape w:val="1"/>
  <w:embedSystemFonts/>
  <w:bordersDoNotSurroundHeader w:val="1"/>
  <w:bordersDoNotSurroundFooter w:val="1"/>
  <w:attachedTemplate r:id="rId1"/>
  <w:documentProtection w:enforcement="0"/>
  <w:defaultTabStop w:val="559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wM2Q1OGRmNDEwODQwZDFkZjY2MTgzYTVjMWRlYmIifQ=="/>
  </w:docVars>
  <w:rsids>
    <w:rsidRoot w:val="1F234130"/>
    <w:rsid w:val="00271769"/>
    <w:rsid w:val="02125874"/>
    <w:rsid w:val="02511125"/>
    <w:rsid w:val="02EF11E0"/>
    <w:rsid w:val="0308532E"/>
    <w:rsid w:val="03314D1D"/>
    <w:rsid w:val="0351647B"/>
    <w:rsid w:val="03823875"/>
    <w:rsid w:val="03A64548"/>
    <w:rsid w:val="043517C8"/>
    <w:rsid w:val="05E07B33"/>
    <w:rsid w:val="06606BAA"/>
    <w:rsid w:val="085665DD"/>
    <w:rsid w:val="08F55C55"/>
    <w:rsid w:val="09795ED8"/>
    <w:rsid w:val="0A5719F4"/>
    <w:rsid w:val="0AC515BB"/>
    <w:rsid w:val="0BF710B6"/>
    <w:rsid w:val="0CA27F6D"/>
    <w:rsid w:val="0D102C60"/>
    <w:rsid w:val="0DF235C6"/>
    <w:rsid w:val="117A1FB8"/>
    <w:rsid w:val="13560820"/>
    <w:rsid w:val="14245808"/>
    <w:rsid w:val="1425661F"/>
    <w:rsid w:val="151051AD"/>
    <w:rsid w:val="151505A6"/>
    <w:rsid w:val="15651EC7"/>
    <w:rsid w:val="15DC4AEB"/>
    <w:rsid w:val="16F77687"/>
    <w:rsid w:val="17AD6705"/>
    <w:rsid w:val="18627B26"/>
    <w:rsid w:val="19792817"/>
    <w:rsid w:val="19A726F3"/>
    <w:rsid w:val="1A490152"/>
    <w:rsid w:val="1AD414AE"/>
    <w:rsid w:val="1B134E31"/>
    <w:rsid w:val="1B2B697D"/>
    <w:rsid w:val="1BEF4845"/>
    <w:rsid w:val="1C4A593A"/>
    <w:rsid w:val="1C7424BB"/>
    <w:rsid w:val="1CF850DA"/>
    <w:rsid w:val="1E311151"/>
    <w:rsid w:val="1F234130"/>
    <w:rsid w:val="1F822FAC"/>
    <w:rsid w:val="1F915A1E"/>
    <w:rsid w:val="1FC35144"/>
    <w:rsid w:val="21DF0DA7"/>
    <w:rsid w:val="21FB1FC8"/>
    <w:rsid w:val="22861EE6"/>
    <w:rsid w:val="23FE3C48"/>
    <w:rsid w:val="244C6AA5"/>
    <w:rsid w:val="24817E00"/>
    <w:rsid w:val="24DF3003"/>
    <w:rsid w:val="258A03E5"/>
    <w:rsid w:val="284D302B"/>
    <w:rsid w:val="286046C0"/>
    <w:rsid w:val="290D009F"/>
    <w:rsid w:val="29225C20"/>
    <w:rsid w:val="2A952A67"/>
    <w:rsid w:val="2B405F6E"/>
    <w:rsid w:val="2CFE1C64"/>
    <w:rsid w:val="2D6362A8"/>
    <w:rsid w:val="2DBC0049"/>
    <w:rsid w:val="2E8C25FF"/>
    <w:rsid w:val="2E991DFC"/>
    <w:rsid w:val="2FD92D9A"/>
    <w:rsid w:val="307D027D"/>
    <w:rsid w:val="326F5A60"/>
    <w:rsid w:val="331C222E"/>
    <w:rsid w:val="33EC3729"/>
    <w:rsid w:val="34446172"/>
    <w:rsid w:val="35A94E4B"/>
    <w:rsid w:val="35B4432A"/>
    <w:rsid w:val="37664296"/>
    <w:rsid w:val="38415FDC"/>
    <w:rsid w:val="396B39B6"/>
    <w:rsid w:val="3A260894"/>
    <w:rsid w:val="3A475A45"/>
    <w:rsid w:val="3BF24643"/>
    <w:rsid w:val="3C9C799F"/>
    <w:rsid w:val="3EB137F4"/>
    <w:rsid w:val="3ED021CA"/>
    <w:rsid w:val="407F713A"/>
    <w:rsid w:val="40FA1332"/>
    <w:rsid w:val="43E56550"/>
    <w:rsid w:val="4434679C"/>
    <w:rsid w:val="445C3320"/>
    <w:rsid w:val="45421516"/>
    <w:rsid w:val="46D54976"/>
    <w:rsid w:val="474B65C4"/>
    <w:rsid w:val="476139C9"/>
    <w:rsid w:val="47A540B8"/>
    <w:rsid w:val="47C94F01"/>
    <w:rsid w:val="48261766"/>
    <w:rsid w:val="48B91CF5"/>
    <w:rsid w:val="49335181"/>
    <w:rsid w:val="495C6E3B"/>
    <w:rsid w:val="499F46D9"/>
    <w:rsid w:val="4A0B5F87"/>
    <w:rsid w:val="4A4534F8"/>
    <w:rsid w:val="4B240D58"/>
    <w:rsid w:val="4B316775"/>
    <w:rsid w:val="4C1F27D1"/>
    <w:rsid w:val="4C712B5E"/>
    <w:rsid w:val="4C7D7706"/>
    <w:rsid w:val="4CE25BB7"/>
    <w:rsid w:val="4D0D48C2"/>
    <w:rsid w:val="4D4114BC"/>
    <w:rsid w:val="507C2A18"/>
    <w:rsid w:val="509760BC"/>
    <w:rsid w:val="528F513F"/>
    <w:rsid w:val="52907E88"/>
    <w:rsid w:val="530D4FE1"/>
    <w:rsid w:val="535237B6"/>
    <w:rsid w:val="54715AFF"/>
    <w:rsid w:val="54982C54"/>
    <w:rsid w:val="553C21CE"/>
    <w:rsid w:val="55A9315C"/>
    <w:rsid w:val="5615572F"/>
    <w:rsid w:val="5772462D"/>
    <w:rsid w:val="584032C1"/>
    <w:rsid w:val="5A6428FD"/>
    <w:rsid w:val="5B3F3078"/>
    <w:rsid w:val="5B9104C7"/>
    <w:rsid w:val="5C2F6C8E"/>
    <w:rsid w:val="5CE47FB1"/>
    <w:rsid w:val="5F1B3002"/>
    <w:rsid w:val="5FAC7002"/>
    <w:rsid w:val="60BE4D86"/>
    <w:rsid w:val="60C1494C"/>
    <w:rsid w:val="61B1667A"/>
    <w:rsid w:val="623161EC"/>
    <w:rsid w:val="62AA49F4"/>
    <w:rsid w:val="62D97141"/>
    <w:rsid w:val="62E50DCE"/>
    <w:rsid w:val="65D2447B"/>
    <w:rsid w:val="65DA7B27"/>
    <w:rsid w:val="66D37748"/>
    <w:rsid w:val="67EE3F38"/>
    <w:rsid w:val="68BF65E6"/>
    <w:rsid w:val="68F7287C"/>
    <w:rsid w:val="69761282"/>
    <w:rsid w:val="6A727EA8"/>
    <w:rsid w:val="6AC53A8A"/>
    <w:rsid w:val="6C4F025D"/>
    <w:rsid w:val="6EF130D7"/>
    <w:rsid w:val="6F802D90"/>
    <w:rsid w:val="6F896C52"/>
    <w:rsid w:val="6FBF058B"/>
    <w:rsid w:val="70493C15"/>
    <w:rsid w:val="70D57E48"/>
    <w:rsid w:val="711E7495"/>
    <w:rsid w:val="71533BDA"/>
    <w:rsid w:val="718C5BAF"/>
    <w:rsid w:val="73C81496"/>
    <w:rsid w:val="74BD7729"/>
    <w:rsid w:val="767859D3"/>
    <w:rsid w:val="76BF3A84"/>
    <w:rsid w:val="776D1464"/>
    <w:rsid w:val="777C7BE6"/>
    <w:rsid w:val="786A5025"/>
    <w:rsid w:val="79F44131"/>
    <w:rsid w:val="7A4B208E"/>
    <w:rsid w:val="7B5B4ACF"/>
    <w:rsid w:val="7B6D01CD"/>
    <w:rsid w:val="7BB70DC8"/>
    <w:rsid w:val="7C402716"/>
    <w:rsid w:val="7D157D55"/>
    <w:rsid w:val="7D91669E"/>
    <w:rsid w:val="7DF62E4B"/>
    <w:rsid w:val="7F8D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360" w:lineRule="auto"/>
      <w:jc w:val="center"/>
      <w:outlineLvl w:val="0"/>
    </w:pPr>
    <w:rPr>
      <w:rFonts w:ascii="Arial" w:hAnsi="Arial" w:eastAsia="黑体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jc w:val="center"/>
      <w:outlineLvl w:val="1"/>
    </w:pPr>
    <w:rPr>
      <w:rFonts w:ascii="Times New Roman" w:hAnsi="Times New Roman" w:eastAsia="宋体"/>
      <w:b/>
      <w:sz w:val="24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4"/>
    <w:qFormat/>
    <w:uiPriority w:val="0"/>
    <w:pPr>
      <w:kinsoku/>
      <w:overflowPunct w:val="0"/>
      <w:spacing w:line="360" w:lineRule="auto"/>
      <w:ind w:firstLine="562" w:firstLineChars="200"/>
    </w:pPr>
    <w:rPr>
      <w:rFonts w:eastAsia="楷体"/>
    </w:rPr>
  </w:style>
  <w:style w:type="paragraph" w:styleId="5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24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Arial" w:hAnsi="Arial" w:eastAsia="宋体"/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选项"/>
    <w:basedOn w:val="1"/>
    <w:qFormat/>
    <w:uiPriority w:val="0"/>
    <w:pPr>
      <w:widowControl w:val="0"/>
      <w:shd w:val="clear" w:color="auto" w:fill="auto"/>
      <w:tabs>
        <w:tab w:val="left" w:pos="263"/>
        <w:tab w:val="left" w:pos="2573"/>
        <w:tab w:val="left" w:pos="5093"/>
        <w:tab w:val="left" w:pos="7613"/>
      </w:tabs>
      <w:kinsoku/>
      <w:autoSpaceDE/>
      <w:autoSpaceDN/>
      <w:adjustRightInd w:val="0"/>
      <w:snapToGrid w:val="0"/>
      <w:spacing w:after="0" w:line="360" w:lineRule="auto"/>
      <w:ind w:left="612" w:hanging="306"/>
      <w:textAlignment w:val="center"/>
    </w:pPr>
    <w:rPr>
      <w:rFonts w:cs="Times New Roman"/>
      <w:snapToGrid/>
      <w:kern w:val="2"/>
      <w:szCs w:val="20"/>
      <w:lang w:eastAsia="zh-CN"/>
    </w:rPr>
  </w:style>
  <w:style w:type="character" w:customStyle="1" w:styleId="14">
    <w:name w:val="正文文本 Char"/>
    <w:link w:val="4"/>
    <w:qFormat/>
    <w:uiPriority w:val="0"/>
    <w:rPr>
      <w:rFonts w:eastAsia="楷体"/>
      <w:sz w:val="24"/>
    </w:rPr>
  </w:style>
  <w:style w:type="paragraph" w:customStyle="1" w:styleId="15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styleId="16">
    <w:name w:val="No Spacing"/>
    <w:qFormat/>
    <w:uiPriority w:val="0"/>
    <w:rPr>
      <w:rFonts w:ascii="NEU-BZ-S92" w:hAnsi="NEU-BZ-S92" w:eastAsia="方正书宋_GBK" w:cs="Times New Roman"/>
      <w:color w:val="000000"/>
      <w:sz w:val="18"/>
      <w:szCs w:val="22"/>
      <w:lang w:val="en-US" w:eastAsia="zh-CN" w:bidi="ar-SA"/>
    </w:rPr>
  </w:style>
  <w:style w:type="paragraph" w:customStyle="1" w:styleId="17">
    <w:name w:val="题型标题"/>
    <w:basedOn w:val="1"/>
    <w:qFormat/>
    <w:uiPriority w:val="0"/>
    <w:pPr>
      <w:wordWrap w:val="0"/>
      <w:spacing w:line="240" w:lineRule="auto"/>
    </w:pPr>
    <w:rPr>
      <w:rFonts w:hint="eastAsia" w:ascii="黑体" w:hAnsi="黑体" w:eastAsia="黑体" w:cs="黑体"/>
      <w:sz w:val="28"/>
      <w:szCs w:val="20"/>
    </w:rPr>
  </w:style>
  <w:style w:type="paragraph" w:customStyle="1" w:styleId="18">
    <w:name w:val="考试名称"/>
    <w:basedOn w:val="1"/>
    <w:uiPriority w:val="0"/>
    <w:pPr>
      <w:spacing w:line="240" w:lineRule="auto"/>
      <w:ind w:firstLine="0" w:firstLineChars="0"/>
      <w:jc w:val="center"/>
    </w:pPr>
    <w:rPr>
      <w:rFonts w:ascii="Times New Roman" w:hAnsi="Times New Roman" w:eastAsia="宋体"/>
      <w:sz w:val="36"/>
      <w:szCs w:val="28"/>
      <w:lang w:eastAsia="zh-CN"/>
    </w:rPr>
  </w:style>
  <w:style w:type="paragraph" w:customStyle="1" w:styleId="19">
    <w:name w:val="科目名称"/>
    <w:basedOn w:val="1"/>
    <w:uiPriority w:val="0"/>
    <w:pPr>
      <w:spacing w:before="50" w:beforeLines="50" w:after="50" w:afterLines="50" w:line="240" w:lineRule="auto"/>
      <w:jc w:val="center"/>
    </w:pPr>
    <w:rPr>
      <w:rFonts w:hint="eastAsia" w:ascii="黑体" w:hAnsi="黑体" w:eastAsia="黑体" w:cs="黑体"/>
      <w:sz w:val="48"/>
      <w:szCs w:val="40"/>
      <w:lang w:eastAsia="zh-CN"/>
    </w:rPr>
  </w:style>
  <w:style w:type="paragraph" w:customStyle="1" w:styleId="20">
    <w:name w:val="注意事项内容"/>
    <w:basedOn w:val="1"/>
    <w:qFormat/>
    <w:uiPriority w:val="0"/>
    <w:pPr>
      <w:spacing w:beforeLines="0" w:afterLines="0" w:line="240" w:lineRule="auto"/>
      <w:ind w:firstLine="560" w:firstLineChars="200"/>
    </w:pPr>
    <w:rPr>
      <w:rFonts w:hint="eastAsia" w:ascii="楷体" w:hAnsi="楷体" w:eastAsia="楷体" w:cs="楷体"/>
      <w:sz w:val="28"/>
      <w:szCs w:val="22"/>
      <w:lang w:eastAsia="zh-CN"/>
    </w:rPr>
  </w:style>
  <w:style w:type="paragraph" w:customStyle="1" w:styleId="21">
    <w:name w:val="第几卷"/>
    <w:basedOn w:val="1"/>
    <w:uiPriority w:val="0"/>
    <w:pPr>
      <w:spacing w:before="50" w:beforeLines="50" w:after="50" w:afterLines="50" w:line="240" w:lineRule="auto"/>
      <w:jc w:val="center"/>
    </w:pPr>
    <w:rPr>
      <w:rFonts w:hint="eastAsia" w:ascii="方正小标宋简体" w:hAnsi="方正小标宋简体" w:eastAsia="方正小标宋简体" w:cs="方正小标宋简体"/>
      <w:sz w:val="32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7B75232B38-A165-1FB7-499C-2E1C792CACB5%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7B75232B38-A165-1FB7-499C-2E1C792CACB5%252525252525252525252525252525252525252525252525252525252525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\BaiduSyncdisk\&#22320;&#29702;\&#35797;&#21367;\&#35797;&#21367;&#27169;&#26495;&#65288;A4&#32440;&#65289;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试卷模板（A4纸）.dotx</Template>
  <Pages>1</Pages>
  <Words>246</Words>
  <Characters>258</Characters>
  <Lines>0</Lines>
  <Paragraphs>0</Paragraphs>
  <TotalTime>0</TotalTime>
  <ScaleCrop>false</ScaleCrop>
  <LinksUpToDate>false</LinksUpToDate>
  <CharactersWithSpaces>262</CharactersWithSpaces>
  <Application>WPS Office_11.8.2.12055_F1E327BC-269C-435d-A152-05C5408002CA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2025-12-06T04:27:00Z</dcterms:created>
  <dc:creator>Deledy</dc:creator>
  <cp:lastModifiedBy>Deledy</cp:lastModifiedBy>
  <dcterms:modified xsi:type="dcterms:W3CDTF">2025-12-14T06:25:11Z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2052-11.8.2.12055</vt:lpwstr>
  </property>
  <property fmtid="{D5CDD505-2E9C-101B-9397-08002B2CF9AE}" pid="3" name="ICV">
    <vt:lpwstr>C74583C664EA420C914E0115A7CA42E4</vt:lpwstr>
  </property>
</Properties>
</file>