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8"/>
        <w:bidi w:val="0"/>
        <w:rPr>
          <w:rFonts w:hint="eastAsia" w:eastAsia="宋体"/>
          <w:lang w:eastAsia="zh-CN"/>
        </w:rPr>
      </w:pPr>
      <w:bookmarkStart w:id="0" w:name="_bookmark1"/>
      <w:bookmarkEnd w:id="0"/>
      <w:r>
        <w:drawing>
          <wp:anchor distT="0" distB="0" distL="114300" distR="114300" simplePos="0" relativeHeight="251659264" behindDoc="0" locked="0" layoutInCell="1" allowOverlap="1">
            <wp:simplePos x="0" y="0"/>
            <wp:positionH relativeFrom="page">
              <wp:posOffset>11684000</wp:posOffset>
            </wp:positionH>
            <wp:positionV relativeFrom="topMargin">
              <wp:posOffset>12598400</wp:posOffset>
            </wp:positionV>
            <wp:extent cx="317500" cy="317500"/>
            <wp:effectExtent l="0" t="0" r="6350" b="6350"/>
            <wp:wrapNone/>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图片 100020"/>
                    <pic:cNvPicPr>
                      <a:picLocks noChangeAspect="1"/>
                    </pic:cNvPicPr>
                  </pic:nvPicPr>
                  <pic:blipFill>
                    <a:blip r:embed="rId8"/>
                    <a:stretch>
                      <a:fillRect/>
                    </a:stretch>
                  </pic:blipFill>
                  <pic:spPr>
                    <a:xfrm>
                      <a:off x="0" y="0"/>
                      <a:ext cx="317500" cy="317500"/>
                    </a:xfrm>
                    <a:prstGeom prst="rect">
                      <a:avLst/>
                    </a:prstGeom>
                  </pic:spPr>
                </pic:pic>
              </a:graphicData>
            </a:graphic>
          </wp:anchor>
        </w:drawing>
      </w:r>
      <w:r>
        <w:t>2025年全国</w:t>
      </w:r>
      <w:r>
        <w:rPr>
          <w:rFonts w:hint="eastAsia"/>
          <w:lang w:val="en-US" w:eastAsia="zh-CN"/>
        </w:rPr>
        <w:t>普通高等学校招生考试</w:t>
      </w:r>
      <w:r>
        <w:rPr>
          <w:rFonts w:hint="eastAsia"/>
          <w:lang w:eastAsia="zh-CN"/>
        </w:rPr>
        <w:t>（</w:t>
      </w:r>
      <w:r>
        <w:rPr>
          <w:rFonts w:hint="eastAsia"/>
          <w:lang w:val="en-US" w:eastAsia="zh-CN"/>
        </w:rPr>
        <w:t>新课标卷</w:t>
      </w:r>
      <w:r>
        <w:rPr>
          <w:rFonts w:hint="eastAsia"/>
          <w:lang w:eastAsia="zh-CN"/>
        </w:rPr>
        <w:t>）</w:t>
      </w:r>
    </w:p>
    <w:p>
      <w:pPr>
        <w:pStyle w:val="19"/>
        <w:bidi w:val="0"/>
      </w:pPr>
      <w:r>
        <w:t>地</w:t>
      </w:r>
      <w:r>
        <w:rPr>
          <w:rFonts w:hint="eastAsia"/>
          <w:lang w:val="en-US" w:eastAsia="zh-CN"/>
        </w:rPr>
        <w:t xml:space="preserve">  </w:t>
      </w:r>
      <w:r>
        <w:t>理</w:t>
      </w:r>
    </w:p>
    <w:p>
      <w:pPr>
        <w:pStyle w:val="17"/>
        <w:bidi w:val="0"/>
      </w:pPr>
      <w:r>
        <w:t>一、选择题：本题共11小题，每小题4分，共44分。每小题只有一个选项符合题目要求。</w:t>
      </w:r>
    </w:p>
    <w:p>
      <w:pPr>
        <w:pStyle w:val="4"/>
        <w:bidi w:val="0"/>
      </w:pPr>
      <w:r>
        <w:t>吉林省通榆县风能资源十分丰富。2009年，当地开始打造风电装备制造产业集群，现已构建包括制造主机叶片、塔筒、电机、紧固件等组件的全产业链，并形成</w:t>
      </w:r>
      <w:r>
        <w:rPr>
          <w:rFonts w:hint="eastAsia" w:eastAsia="宋体"/>
          <w:lang w:eastAsia="zh-CN"/>
        </w:rPr>
        <w:t>“</w:t>
      </w:r>
      <w:r>
        <w:t>风电场+制造基地+风电消纳</w:t>
      </w:r>
      <w:r>
        <w:rPr>
          <w:rFonts w:hint="eastAsia" w:eastAsia="宋体"/>
          <w:lang w:eastAsia="zh-CN"/>
        </w:rPr>
        <w:t>”</w:t>
      </w:r>
      <w:r>
        <w:t>联动发展模式。为促进风电消纳，当地引进电池储能、氢化工、大数据、机械制造等产业，并建设</w:t>
      </w:r>
      <w:r>
        <w:rPr>
          <w:rFonts w:hint="eastAsia" w:eastAsia="宋体"/>
          <w:lang w:eastAsia="zh-CN"/>
        </w:rPr>
        <w:t>“</w:t>
      </w:r>
      <w:r>
        <w:t>吉电南送</w:t>
      </w:r>
      <w:r>
        <w:rPr>
          <w:rFonts w:hint="eastAsia" w:eastAsia="宋体"/>
          <w:lang w:eastAsia="zh-CN"/>
        </w:rPr>
        <w:t>”</w:t>
      </w:r>
      <w:r>
        <w:t>超高压输电工程。</w:t>
      </w:r>
      <w:r>
        <w:rPr>
          <w:rFonts w:hint="eastAsia" w:ascii="宋体" w:hAnsi="宋体" w:eastAsia="宋体" w:cs="宋体"/>
        </w:rPr>
        <w:t>据此完成下面小题。</w:t>
      </w:r>
    </w:p>
    <w:p>
      <w:pPr>
        <w:bidi w:val="0"/>
      </w:pPr>
      <w:r>
        <w:t>1. 当地形成风电装备制造产业集群，可为风电场节约（</w:t>
      </w:r>
      <w:r>
        <w:rPr>
          <w:rFonts w:hint="eastAsia"/>
          <w:lang w:eastAsia="zh-CN"/>
        </w:rPr>
        <w:t>　　</w:t>
      </w:r>
      <w:r>
        <w:t>）</w:t>
      </w:r>
    </w:p>
    <w:p>
      <w:pPr>
        <w:pStyle w:val="13"/>
        <w:bidi w:val="0"/>
      </w:pPr>
      <w:r>
        <w:t>①组件运输成本  ②基础建设成本  ③运营维护成本  ④环境保护成本</w:t>
      </w:r>
    </w:p>
    <w:p>
      <w:pPr>
        <w:pStyle w:val="13"/>
        <w:bidi w:val="0"/>
      </w:pPr>
      <w:r>
        <w:t>A. ①③</w:t>
      </w:r>
      <w:r>
        <w:tab/>
      </w:r>
      <w:r>
        <w:t>B. ①④</w:t>
      </w:r>
      <w:r>
        <w:tab/>
      </w:r>
      <w:r>
        <w:t>C. ②③</w:t>
      </w:r>
      <w:r>
        <w:tab/>
      </w:r>
      <w:r>
        <w:t>D. ②④</w:t>
      </w:r>
    </w:p>
    <w:p>
      <w:pPr>
        <w:bidi w:val="0"/>
      </w:pPr>
      <w:r>
        <w:t>2. 当地吸引电池储能、氢化工、大数据、机械制造等产业的主导区位因素是（</w:t>
      </w:r>
      <w:r>
        <w:rPr>
          <w:rFonts w:hint="eastAsia"/>
          <w:lang w:eastAsia="zh-CN"/>
        </w:rPr>
        <w:t>　　</w:t>
      </w:r>
      <w:r>
        <w:t>）</w:t>
      </w:r>
    </w:p>
    <w:p>
      <w:pPr>
        <w:pStyle w:val="13"/>
        <w:bidi w:val="0"/>
      </w:pPr>
      <w:r>
        <w:t>A. 交通</w:t>
      </w:r>
      <w:r>
        <w:tab/>
      </w:r>
      <w:r>
        <w:t>B. 劳动力</w:t>
      </w:r>
      <w:r>
        <w:tab/>
      </w:r>
      <w:r>
        <w:t>C. 能源</w:t>
      </w:r>
      <w:r>
        <w:tab/>
      </w:r>
      <w:r>
        <w:t>D. 技术</w:t>
      </w:r>
    </w:p>
    <w:p>
      <w:pPr>
        <w:bidi w:val="0"/>
      </w:pPr>
      <w:r>
        <w:t>3. 当地实施</w:t>
      </w:r>
      <w:r>
        <w:rPr>
          <w:rFonts w:hint="eastAsia" w:eastAsia="宋体"/>
          <w:lang w:eastAsia="zh-CN"/>
        </w:rPr>
        <w:t>“</w:t>
      </w:r>
      <w:r>
        <w:t>风电场+制造基地+风电消纳</w:t>
      </w:r>
      <w:r>
        <w:rPr>
          <w:rFonts w:hint="eastAsia" w:eastAsia="宋体"/>
          <w:lang w:eastAsia="zh-CN"/>
        </w:rPr>
        <w:t>”</w:t>
      </w:r>
      <w:r>
        <w:t>联动发展模式，可以（</w:t>
      </w:r>
      <w:r>
        <w:rPr>
          <w:rFonts w:hint="eastAsia"/>
          <w:lang w:eastAsia="zh-CN"/>
        </w:rPr>
        <w:t>　　</w:t>
      </w:r>
      <w:r>
        <w:t>）</w:t>
      </w:r>
    </w:p>
    <w:p>
      <w:pPr>
        <w:pStyle w:val="13"/>
        <w:bidi w:val="0"/>
      </w:pPr>
      <w:r>
        <w:t>①规避产能过剩风险  ②降低劳动用工价格  ③减缓技术升级压力  ④促进风能资源利用</w:t>
      </w:r>
    </w:p>
    <w:p>
      <w:pPr>
        <w:pStyle w:val="13"/>
        <w:bidi w:val="0"/>
      </w:pPr>
      <w:r>
        <w:t>A. ①③</w:t>
      </w:r>
      <w:r>
        <w:tab/>
      </w:r>
      <w:r>
        <w:t>B. ①④</w:t>
      </w:r>
      <w:r>
        <w:tab/>
      </w:r>
      <w:r>
        <w:t>C. ②③</w:t>
      </w:r>
      <w:r>
        <w:tab/>
      </w:r>
      <w:r>
        <w:t>D. ②④</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08" w:type="dxa"/>
          <w:right w:w="108" w:type="dxa"/>
        </w:tblCellMar>
      </w:tblPr>
      <w:tblGrid>
        <w:gridCol w:w="4598"/>
        <w:gridCol w:w="536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598" w:type="dxa"/>
          </w:tcPr>
          <w:p>
            <w:pPr>
              <w:pStyle w:val="4"/>
              <w:bidi w:val="0"/>
              <w:rPr>
                <w:rFonts w:hint="eastAsia"/>
              </w:rPr>
            </w:pPr>
            <w:r>
              <w:t>江西省吉安市渼陂（měibēi）古村，地处赣江支流富水河下游河畔，地势低洼，常遭洪涝灾害。为减轻水患，早期人们挖掘水塘，后逐渐形成</w:t>
            </w:r>
            <w:r>
              <w:rPr>
                <w:rFonts w:hint="eastAsia" w:eastAsia="宋体"/>
                <w:lang w:eastAsia="zh-CN"/>
              </w:rPr>
              <w:t>“</w:t>
            </w:r>
            <w:r>
              <w:t>两河一塘（群）</w:t>
            </w:r>
            <w:r>
              <w:rPr>
                <w:rFonts w:hint="eastAsia" w:eastAsia="宋体"/>
                <w:lang w:eastAsia="zh-CN"/>
              </w:rPr>
              <w:t>”</w:t>
            </w:r>
            <w:r>
              <w:t>水系（下图）：富水河水经进水闸入村后分为两支，各串联若干水塘，并连接街巷的排水沟渠，最后汇入渼水；渼水经分流水闸分为两支汇入富水河。</w:t>
            </w:r>
            <w:r>
              <w:rPr>
                <w:rFonts w:hint="eastAsia" w:ascii="宋体" w:hAnsi="宋体" w:eastAsia="宋体" w:cs="宋体"/>
              </w:rPr>
              <w:t>据此完成下面小题。</w:t>
            </w:r>
          </w:p>
        </w:tc>
        <w:tc>
          <w:tcPr>
            <w:tcW w:w="5364" w:type="dxa"/>
            <w:vAlign w:val="center"/>
          </w:tcPr>
          <w:p>
            <w:pPr>
              <w:bidi w:val="0"/>
              <w:jc w:val="center"/>
              <w:rPr>
                <w:rFonts w:hint="eastAsia"/>
              </w:rPr>
            </w:pPr>
            <w:r>
              <w:rPr>
                <w:color w:val="000000"/>
              </w:rPr>
              <w:drawing>
                <wp:inline distT="0" distB="0" distL="114300" distR="114300">
                  <wp:extent cx="3276600" cy="2230755"/>
                  <wp:effectExtent l="0" t="0" r="0" b="1714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9"/>
                          <a:stretch>
                            <a:fillRect/>
                          </a:stretch>
                        </pic:blipFill>
                        <pic:spPr>
                          <a:xfrm>
                            <a:off x="0" y="0"/>
                            <a:ext cx="3276600" cy="2230755"/>
                          </a:xfrm>
                          <a:prstGeom prst="rect">
                            <a:avLst/>
                          </a:prstGeom>
                        </pic:spPr>
                      </pic:pic>
                    </a:graphicData>
                  </a:graphic>
                </wp:inline>
              </w:drawing>
            </w:r>
          </w:p>
        </w:tc>
      </w:tr>
    </w:tbl>
    <w:p>
      <w:pPr>
        <w:bidi w:val="0"/>
      </w:pPr>
      <w:r>
        <w:t>4. 渼陂古村早期挖掘水塘的目的是（</w:t>
      </w:r>
      <w:r>
        <w:rPr>
          <w:rFonts w:hint="eastAsia"/>
          <w:lang w:eastAsia="zh-CN"/>
        </w:rPr>
        <w:t>　　</w:t>
      </w:r>
      <w:r>
        <w:t>）</w:t>
      </w:r>
    </w:p>
    <w:p>
      <w:pPr>
        <w:pStyle w:val="13"/>
        <w:bidi w:val="0"/>
      </w:pPr>
      <w:r>
        <w:t>A. 提供水源</w:t>
      </w:r>
      <w:r>
        <w:tab/>
      </w:r>
      <w:r>
        <w:t>B. 方便运输</w:t>
      </w:r>
      <w:r>
        <w:rPr>
          <w:rFonts w:hint="eastAsia"/>
          <w:lang w:val="en-US" w:eastAsia="zh-CN"/>
        </w:rPr>
        <w:tab/>
      </w:r>
      <w:r>
        <w:t>C. 养殖水产</w:t>
      </w:r>
      <w:r>
        <w:tab/>
      </w:r>
      <w:r>
        <w:t>D. 蓄积雨洪</w:t>
      </w:r>
    </w:p>
    <w:p>
      <w:pPr>
        <w:bidi w:val="0"/>
      </w:pPr>
      <w:r>
        <w:t>5. 渼陂古村</w:t>
      </w:r>
      <w:r>
        <w:rPr>
          <w:rFonts w:hint="eastAsia" w:eastAsia="宋体"/>
          <w:lang w:eastAsia="zh-CN"/>
        </w:rPr>
        <w:t>“</w:t>
      </w:r>
      <w:r>
        <w:t>两河一塘（群）</w:t>
      </w:r>
      <w:r>
        <w:rPr>
          <w:rFonts w:hint="eastAsia" w:eastAsia="宋体"/>
          <w:lang w:eastAsia="zh-CN"/>
        </w:rPr>
        <w:t>”</w:t>
      </w:r>
      <w:r>
        <w:t>水系在有效防御水患的同时，实现了村落内（</w:t>
      </w:r>
      <w:r>
        <w:rPr>
          <w:rFonts w:hint="eastAsia"/>
          <w:lang w:eastAsia="zh-CN"/>
        </w:rPr>
        <w:t>　　</w:t>
      </w:r>
      <w:r>
        <w:t>）</w:t>
      </w:r>
    </w:p>
    <w:p>
      <w:pPr>
        <w:pStyle w:val="13"/>
        <w:bidi w:val="0"/>
      </w:pPr>
      <w:r>
        <w:t>A</w:t>
      </w:r>
      <w:r>
        <w:drawing>
          <wp:inline distT="0" distB="0" distL="114300" distR="114300">
            <wp:extent cx="31750" cy="88900"/>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10"/>
                    <a:stretch>
                      <a:fillRect/>
                    </a:stretch>
                  </pic:blipFill>
                  <pic:spPr>
                    <a:xfrm>
                      <a:off x="0" y="0"/>
                      <a:ext cx="31750" cy="88900"/>
                    </a:xfrm>
                    <a:prstGeom prst="rect">
                      <a:avLst/>
                    </a:prstGeom>
                  </pic:spPr>
                </pic:pic>
              </a:graphicData>
            </a:graphic>
          </wp:inline>
        </w:drawing>
      </w:r>
      <w:r>
        <w:t xml:space="preserve"> 水资源节约利用</w:t>
      </w:r>
      <w:r>
        <w:tab/>
      </w:r>
      <w:r>
        <w:t>B. 引水排水等量</w:t>
      </w:r>
      <w:r>
        <w:rPr>
          <w:rFonts w:hint="eastAsia"/>
          <w:lang w:val="en-US" w:eastAsia="zh-CN"/>
        </w:rPr>
        <w:tab/>
      </w:r>
      <w:r>
        <w:t>C. 水体不断更新</w:t>
      </w:r>
      <w:r>
        <w:tab/>
      </w:r>
      <w:r>
        <w:t>D. 地下水位下降</w:t>
      </w:r>
    </w:p>
    <w:p>
      <w:pPr>
        <w:bidi w:val="0"/>
      </w:pPr>
      <w:r>
        <w:t>6. 渼陂古村治水模式对生态建设的启示是（</w:t>
      </w:r>
      <w:r>
        <w:rPr>
          <w:rFonts w:hint="eastAsia"/>
          <w:lang w:eastAsia="zh-CN"/>
        </w:rPr>
        <w:t>　　</w:t>
      </w:r>
      <w:r>
        <w:t>）</w:t>
      </w:r>
    </w:p>
    <w:p>
      <w:pPr>
        <w:pStyle w:val="13"/>
        <w:bidi w:val="0"/>
      </w:pPr>
      <w:r>
        <w:t>A. 广泛植树种草，加快碳汇建设</w:t>
      </w:r>
      <w:r>
        <w:tab/>
      </w:r>
      <w:r>
        <w:t>B. 因地制宜治水，合理利用自然</w:t>
      </w:r>
    </w:p>
    <w:p>
      <w:pPr>
        <w:pStyle w:val="13"/>
        <w:bidi w:val="0"/>
      </w:pPr>
      <w:r>
        <w:t>C. 加强雨污分流，促进环境改善</w:t>
      </w:r>
      <w:r>
        <w:tab/>
      </w:r>
      <w:r>
        <w:t>D. 减少人类干预，实现自然恢复</w:t>
      </w:r>
    </w:p>
    <w:p>
      <w:pPr>
        <w:pStyle w:val="4"/>
        <w:bidi w:val="0"/>
        <w:rPr>
          <w:color w:val="000000"/>
        </w:rPr>
      </w:pPr>
      <w:r>
        <w:rPr>
          <w:rFonts w:ascii="Times New Roman" w:hAnsi="Times New Roman" w:eastAsia="Times New Roman" w:cs="Times New Roman"/>
          <w:color w:val="000000"/>
        </w:rPr>
        <w:t>1999</w:t>
      </w:r>
      <w:r>
        <w:rPr>
          <w:rFonts w:ascii="楷体" w:hAnsi="楷体" w:eastAsia="楷体" w:cs="楷体"/>
          <w:color w:val="000000"/>
        </w:rPr>
        <w:t>年，广西南宁国家基本气象站从城中搬迁至城郊，并在</w:t>
      </w:r>
      <w:r>
        <w:rPr>
          <w:rFonts w:ascii="Times New Roman" w:hAnsi="Times New Roman" w:eastAsia="Times New Roman" w:cs="Times New Roman"/>
          <w:color w:val="000000"/>
        </w:rPr>
        <w:t>2000</w:t>
      </w:r>
      <w:r>
        <w:rPr>
          <w:rFonts w:ascii="楷体" w:hAnsi="楷体" w:eastAsia="楷体" w:cs="楷体"/>
          <w:color w:val="000000"/>
        </w:rPr>
        <w:t>年对新旧站主要气象要素进行对比观测。下图示意观测的月平均气压变化。</w:t>
      </w:r>
      <w:r>
        <w:rPr>
          <w:rFonts w:hint="eastAsia" w:ascii="宋体" w:hAnsi="宋体" w:eastAsia="宋体" w:cs="宋体"/>
        </w:rPr>
        <w:t>据此完成下面小题。</w:t>
      </w:r>
    </w:p>
    <w:p>
      <w:pPr>
        <w:spacing w:line="360" w:lineRule="auto"/>
        <w:jc w:val="center"/>
        <w:textAlignment w:val="center"/>
        <w:rPr>
          <w:color w:val="000000"/>
        </w:rPr>
      </w:pPr>
      <w:r>
        <w:rPr>
          <w:color w:val="000000"/>
        </w:rPr>
        <w:drawing>
          <wp:inline distT="0" distB="0" distL="114300" distR="114300">
            <wp:extent cx="2790825" cy="1666875"/>
            <wp:effectExtent l="0" t="0" r="9525"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11"/>
                    <a:stretch>
                      <a:fillRect/>
                    </a:stretch>
                  </pic:blipFill>
                  <pic:spPr>
                    <a:xfrm>
                      <a:off x="0" y="0"/>
                      <a:ext cx="2790825" cy="1666875"/>
                    </a:xfrm>
                    <a:prstGeom prst="rect">
                      <a:avLst/>
                    </a:prstGeom>
                  </pic:spPr>
                </pic:pic>
              </a:graphicData>
            </a:graphic>
          </wp:inline>
        </w:drawing>
      </w:r>
    </w:p>
    <w:p>
      <w:pPr>
        <w:bidi w:val="0"/>
      </w:pPr>
      <w:r>
        <w:t>7. 根据图示新旧气象站气压差异，可以推断新站比旧站（</w:t>
      </w:r>
      <w:r>
        <w:rPr>
          <w:rFonts w:hint="eastAsia"/>
          <w:lang w:eastAsia="zh-CN"/>
        </w:rPr>
        <w:t>　　</w:t>
      </w:r>
      <w:r>
        <w:t>）</w:t>
      </w:r>
    </w:p>
    <w:p>
      <w:pPr>
        <w:pStyle w:val="13"/>
        <w:bidi w:val="0"/>
      </w:pPr>
      <w:r>
        <w:t>A. 海拔高</w:t>
      </w:r>
      <w:r>
        <w:tab/>
      </w:r>
      <w:r>
        <w:t>B. 纬度高</w:t>
      </w:r>
      <w:r>
        <w:tab/>
      </w:r>
      <w:r>
        <w:t>C. 距海远</w:t>
      </w:r>
      <w:r>
        <w:tab/>
      </w:r>
      <w:r>
        <w:t>D. 面积小</w:t>
      </w:r>
    </w:p>
    <w:p>
      <w:pPr>
        <w:bidi w:val="0"/>
      </w:pPr>
      <w:r>
        <w:t>8. 该气象站观测的主要气象要素中，与图示气压年内变化相关度最高的是（</w:t>
      </w:r>
      <w:r>
        <w:rPr>
          <w:rFonts w:hint="eastAsia"/>
          <w:lang w:eastAsia="zh-CN"/>
        </w:rPr>
        <w:t>　　</w:t>
      </w:r>
      <w:r>
        <w:t>）</w:t>
      </w:r>
    </w:p>
    <w:p>
      <w:pPr>
        <w:pStyle w:val="13"/>
        <w:bidi w:val="0"/>
      </w:pPr>
      <w:r>
        <w:t>A. 湿度</w:t>
      </w:r>
      <w:r>
        <w:tab/>
      </w:r>
      <w:r>
        <w:t>B. 风速</w:t>
      </w:r>
      <w:r>
        <w:tab/>
      </w:r>
      <w:r>
        <w:t>C. 气温</w:t>
      </w:r>
      <w:r>
        <w:tab/>
      </w:r>
      <w:r>
        <w:t>D. 风向</w:t>
      </w:r>
    </w:p>
    <w:p>
      <w:pPr>
        <w:pStyle w:val="4"/>
        <w:bidi w:val="0"/>
      </w:pPr>
      <w:r>
        <w:t>我国温带湿润区某盆地内分布着海拔约280米、地势平坦的台地和海拔220~240米的河流谷地。台地基岩为沉积岩，风化物颗粒小、质地黏重；谷地地下水位常接近地表。盆地四周分布着海拔约380米的低缓花岗岩丘陵，是该区域的自然地带植被和土壤分布区；盆地北缘有一座海拔约880米、坡面陡峭的花岗岩山峰，成为盆地理想的眺望点。</w:t>
      </w:r>
      <w:r>
        <w:rPr>
          <w:rFonts w:hint="eastAsia" w:ascii="宋体" w:hAnsi="宋体" w:eastAsia="宋体" w:cs="宋体"/>
        </w:rPr>
        <w:t>据此完成下面小题。</w:t>
      </w:r>
    </w:p>
    <w:p>
      <w:pPr>
        <w:bidi w:val="0"/>
      </w:pPr>
      <w:r>
        <w:t>9. 盆地北缘陡峭</w:t>
      </w:r>
      <w:r>
        <w:rPr>
          <w:rFonts w:hint="eastAsia"/>
          <w:lang w:val="en-US" w:eastAsia="zh-CN"/>
        </w:rPr>
        <w:t>的</w:t>
      </w:r>
      <w:r>
        <w:t>花岗岩山峰应是（</w:t>
      </w:r>
      <w:r>
        <w:rPr>
          <w:rFonts w:hint="eastAsia"/>
          <w:lang w:eastAsia="zh-CN"/>
        </w:rPr>
        <w:t>　　</w:t>
      </w:r>
      <w:r>
        <w:t>）</w:t>
      </w:r>
    </w:p>
    <w:p>
      <w:pPr>
        <w:pStyle w:val="13"/>
        <w:bidi w:val="0"/>
      </w:pPr>
      <w:r>
        <w:t>A. 火山</w:t>
      </w:r>
      <w:r>
        <w:tab/>
      </w:r>
      <w:r>
        <w:t>B. 断块山</w:t>
      </w:r>
      <w:r>
        <w:tab/>
      </w:r>
      <w:r>
        <w:t>C. 背斜山</w:t>
      </w:r>
      <w:r>
        <w:tab/>
      </w:r>
      <w:r>
        <w:t>D. 向斜山</w:t>
      </w:r>
    </w:p>
    <w:p>
      <w:pPr>
        <w:bidi w:val="0"/>
      </w:pPr>
      <w:r>
        <w:t>10. 花岗岩山峰未发育自然地带土壤，主要</w:t>
      </w:r>
      <w:r>
        <w:rPr>
          <w:rFonts w:hint="eastAsia"/>
          <w:lang w:val="en-US" w:eastAsia="zh-CN"/>
        </w:rPr>
        <w:t>是</w:t>
      </w:r>
      <w:r>
        <w:t>因为山峰（</w:t>
      </w:r>
      <w:r>
        <w:rPr>
          <w:rFonts w:hint="eastAsia"/>
          <w:lang w:eastAsia="zh-CN"/>
        </w:rPr>
        <w:t>　　</w:t>
      </w:r>
      <w:r>
        <w:t>）</w:t>
      </w:r>
      <w:bookmarkStart w:id="1" w:name="_GoBack"/>
      <w:bookmarkEnd w:id="1"/>
    </w:p>
    <w:p>
      <w:pPr>
        <w:pStyle w:val="13"/>
        <w:bidi w:val="0"/>
      </w:pPr>
      <w:r>
        <w:t>A. 气温较低，风化强度较弱</w:t>
      </w:r>
      <w:r>
        <w:tab/>
      </w:r>
      <w:r>
        <w:t>B. 植被稀疏，土壤腐殖质少</w:t>
      </w:r>
    </w:p>
    <w:p>
      <w:pPr>
        <w:pStyle w:val="13"/>
        <w:bidi w:val="0"/>
      </w:pPr>
      <w:r>
        <w:t>C</w:t>
      </w:r>
      <w:r>
        <w:drawing>
          <wp:inline distT="0" distB="0" distL="114300" distR="114300">
            <wp:extent cx="31750" cy="88900"/>
            <wp:effectExtent l="0" t="0" r="0"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10"/>
                    <a:stretch>
                      <a:fillRect/>
                    </a:stretch>
                  </pic:blipFill>
                  <pic:spPr>
                    <a:xfrm>
                      <a:off x="0" y="0"/>
                      <a:ext cx="31750" cy="88900"/>
                    </a:xfrm>
                    <a:prstGeom prst="rect">
                      <a:avLst/>
                    </a:prstGeom>
                  </pic:spPr>
                </pic:pic>
              </a:graphicData>
            </a:graphic>
          </wp:inline>
        </w:drawing>
      </w:r>
      <w:r>
        <w:t xml:space="preserve"> 成土母质黏重，地表过湿</w:t>
      </w:r>
      <w:r>
        <w:tab/>
      </w:r>
      <w:r>
        <w:t>D. 坡面陡峭，水土不易留存</w:t>
      </w:r>
    </w:p>
    <w:p>
      <w:pPr>
        <w:bidi w:val="0"/>
      </w:pPr>
      <w:r>
        <w:t>11. 台地土壤比丘陵区土壤含水量高的原因是台地（</w:t>
      </w:r>
      <w:r>
        <w:rPr>
          <w:rFonts w:hint="eastAsia"/>
          <w:lang w:eastAsia="zh-CN"/>
        </w:rPr>
        <w:t>　　</w:t>
      </w:r>
      <w:r>
        <w:t>）</w:t>
      </w:r>
    </w:p>
    <w:p>
      <w:pPr>
        <w:pStyle w:val="13"/>
        <w:bidi w:val="0"/>
      </w:pPr>
      <w:r>
        <w:t>A. 降水更多</w:t>
      </w:r>
      <w:r>
        <w:tab/>
      </w:r>
      <w:r>
        <w:rPr>
          <w:rFonts w:hint="eastAsia"/>
          <w:lang w:val="en-US" w:eastAsia="zh-CN"/>
        </w:rPr>
        <w:tab/>
      </w:r>
      <w:r>
        <w:t>B. 河流补给多</w:t>
      </w:r>
    </w:p>
    <w:p>
      <w:pPr>
        <w:pStyle w:val="13"/>
        <w:bidi w:val="0"/>
      </w:pPr>
      <w:r>
        <w:t>C. 蒸发更弱</w:t>
      </w:r>
      <w:r>
        <w:tab/>
      </w:r>
      <w:r>
        <w:rPr>
          <w:rFonts w:hint="eastAsia"/>
          <w:lang w:val="en-US" w:eastAsia="zh-CN"/>
        </w:rPr>
        <w:tab/>
      </w:r>
      <w:r>
        <w:t>D. 排水和下渗不畅</w:t>
      </w:r>
    </w:p>
    <w:p>
      <w:r>
        <w:br w:type="page"/>
      </w:r>
    </w:p>
    <w:p>
      <w:pPr>
        <w:pStyle w:val="17"/>
        <w:bidi w:val="0"/>
      </w:pPr>
      <w:r>
        <w:t>二、非选择题：本题共2小题，共56分。</w:t>
      </w:r>
    </w:p>
    <w:p>
      <w:pPr>
        <w:bidi w:val="0"/>
      </w:pPr>
      <w:r>
        <w:t>12. 阅读图文材料，完成下列要求。</w:t>
      </w:r>
      <w:r>
        <w:rPr>
          <w:rFonts w:hint="default" w:ascii="Times New Roman" w:hAnsi="Times New Roman" w:cs="Times New Roman"/>
          <w:color w:val="000000"/>
          <w:lang w:eastAsia="zh-CN"/>
        </w:rPr>
        <w:t>（</w:t>
      </w:r>
      <w:r>
        <w:rPr>
          <w:rFonts w:hint="default" w:ascii="Times New Roman" w:hAnsi="Times New Roman" w:cs="Times New Roman"/>
          <w:color w:val="000000"/>
          <w:lang w:val="en-US" w:eastAsia="zh-CN"/>
        </w:rPr>
        <w:t>30分</w:t>
      </w:r>
      <w:r>
        <w:rPr>
          <w:rFonts w:hint="default" w:ascii="Times New Roman" w:hAnsi="Times New Roman" w:cs="Times New Roman"/>
          <w:color w:val="000000"/>
          <w:lang w:eastAsia="zh-CN"/>
        </w:rPr>
        <w:t>）</w:t>
      </w:r>
    </w:p>
    <w:p>
      <w:pPr>
        <w:pStyle w:val="4"/>
        <w:bidi w:val="0"/>
      </w:pPr>
      <w:r>
        <w:t>炒货产业进入门槛低，但做大做强难。改革开放后，安徽芜湖某个体户率先创立了炒制瓜子品牌，产品供不应求。在此示范效应下，安徽以合肥、芜湖为中心的炒货产业迅速发展，并带动配套产业发展。经过一段时期的激烈竞争，安徽形成数家在全国炒货产业中举足轻重的企业。其中，总部在合肥的甲公司以炒制葵花子为主，通过革新工艺、加大宣传、保障原料供应等，发展成为我国著名的炒货企业。下图示意甲公司与西北地区向日葵种植区关系的发展。近年来，向日葵种植区也创建了炒制葵花子自主品牌。</w:t>
      </w:r>
    </w:p>
    <w:p>
      <w:pPr>
        <w:spacing w:line="360" w:lineRule="auto"/>
        <w:jc w:val="center"/>
        <w:textAlignment w:val="center"/>
        <w:rPr>
          <w:color w:val="000000"/>
        </w:rPr>
      </w:pPr>
      <w:r>
        <w:rPr>
          <w:color w:val="000000"/>
        </w:rPr>
        <w:drawing>
          <wp:inline distT="0" distB="0" distL="114300" distR="114300">
            <wp:extent cx="4591050" cy="160020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2"/>
                    <a:stretch>
                      <a:fillRect/>
                    </a:stretch>
                  </pic:blipFill>
                  <pic:spPr>
                    <a:xfrm>
                      <a:off x="0" y="0"/>
                      <a:ext cx="4591050" cy="1600200"/>
                    </a:xfrm>
                    <a:prstGeom prst="rect">
                      <a:avLst/>
                    </a:prstGeom>
                  </pic:spPr>
                </pic:pic>
              </a:graphicData>
            </a:graphic>
          </wp:inline>
        </w:drawing>
      </w:r>
    </w:p>
    <w:p>
      <w:pPr>
        <w:bidi w:val="0"/>
      </w:pPr>
      <w:r>
        <w:t>（1）简述安徽形成较多全国著名炒货企业的有利条件。</w:t>
      </w:r>
      <w:r>
        <w:rPr>
          <w:rFonts w:hint="eastAsia"/>
          <w:lang w:eastAsia="zh-CN"/>
        </w:rPr>
        <w:t>（</w:t>
      </w:r>
      <w:r>
        <w:rPr>
          <w:rFonts w:hint="eastAsia"/>
          <w:lang w:val="en-US" w:eastAsia="zh-CN"/>
        </w:rPr>
        <w:t>8分</w:t>
      </w:r>
      <w:r>
        <w:rPr>
          <w:rFonts w:hint="eastAsia"/>
          <w:lang w:eastAsia="zh-CN"/>
        </w:rPr>
        <w:t>）</w:t>
      </w:r>
    </w:p>
    <w:p>
      <w:pPr>
        <w:bidi w:val="0"/>
      </w:pPr>
    </w:p>
    <w:p>
      <w:pPr>
        <w:bidi w:val="0"/>
      </w:pPr>
    </w:p>
    <w:p>
      <w:pPr>
        <w:bidi w:val="0"/>
      </w:pPr>
    </w:p>
    <w:p>
      <w:pPr>
        <w:bidi w:val="0"/>
      </w:pPr>
      <w:r>
        <w:t>（2）自图示阶段二开始，甲公司以订单方式要求农户种植指定品种。指出甲公司这样做对提高产品竞争力的益处及对当地向日葵种植的积极影响。</w:t>
      </w:r>
      <w:r>
        <w:rPr>
          <w:rFonts w:hint="eastAsia"/>
          <w:lang w:eastAsia="zh-CN"/>
        </w:rPr>
        <w:t>（</w:t>
      </w:r>
      <w:r>
        <w:rPr>
          <w:rFonts w:hint="eastAsia"/>
          <w:lang w:val="en-US" w:eastAsia="zh-CN"/>
        </w:rPr>
        <w:t>10分</w:t>
      </w:r>
      <w:r>
        <w:rPr>
          <w:rFonts w:hint="eastAsia"/>
          <w:lang w:eastAsia="zh-CN"/>
        </w:rPr>
        <w:t>）</w:t>
      </w:r>
    </w:p>
    <w:p>
      <w:pPr>
        <w:bidi w:val="0"/>
      </w:pPr>
    </w:p>
    <w:p>
      <w:pPr>
        <w:bidi w:val="0"/>
      </w:pPr>
    </w:p>
    <w:p>
      <w:pPr>
        <w:bidi w:val="0"/>
      </w:pPr>
    </w:p>
    <w:p>
      <w:pPr>
        <w:bidi w:val="0"/>
      </w:pPr>
    </w:p>
    <w:p>
      <w:pPr>
        <w:bidi w:val="0"/>
      </w:pPr>
      <w:r>
        <w:t>（3）说明阶段三甲公司在原料供应基地建加工厂的区位优势。</w:t>
      </w:r>
      <w:r>
        <w:rPr>
          <w:rFonts w:hint="eastAsia"/>
          <w:lang w:eastAsia="zh-CN"/>
        </w:rPr>
        <w:t>（</w:t>
      </w:r>
      <w:r>
        <w:rPr>
          <w:rFonts w:hint="eastAsia"/>
          <w:lang w:val="en-US" w:eastAsia="zh-CN"/>
        </w:rPr>
        <w:t>6分</w:t>
      </w:r>
      <w:r>
        <w:rPr>
          <w:rFonts w:hint="eastAsia"/>
          <w:lang w:eastAsia="zh-CN"/>
        </w:rPr>
        <w:t>）</w:t>
      </w:r>
    </w:p>
    <w:p>
      <w:pPr>
        <w:bidi w:val="0"/>
      </w:pPr>
    </w:p>
    <w:p>
      <w:pPr>
        <w:bidi w:val="0"/>
      </w:pPr>
    </w:p>
    <w:p>
      <w:pPr>
        <w:bidi w:val="0"/>
      </w:pPr>
    </w:p>
    <w:p>
      <w:pPr>
        <w:bidi w:val="0"/>
      </w:pPr>
    </w:p>
    <w:p>
      <w:pPr>
        <w:bidi w:val="0"/>
      </w:pPr>
      <w:r>
        <w:t>（4）分析网络销售对向日葵种植区创建炒制葵花子自主品牌</w:t>
      </w:r>
      <w:r>
        <w:rPr>
          <w:rFonts w:hint="eastAsia"/>
          <w:lang w:val="en-US" w:eastAsia="zh-CN"/>
        </w:rPr>
        <w:t>的</w:t>
      </w:r>
      <w:r>
        <w:t>促进作用。</w:t>
      </w:r>
      <w:r>
        <w:rPr>
          <w:rFonts w:hint="eastAsia"/>
          <w:lang w:eastAsia="zh-CN"/>
        </w:rPr>
        <w:t>（</w:t>
      </w:r>
      <w:r>
        <w:rPr>
          <w:rFonts w:hint="eastAsia"/>
          <w:lang w:val="en-US" w:eastAsia="zh-CN"/>
        </w:rPr>
        <w:t>6分</w:t>
      </w:r>
      <w:r>
        <w:rPr>
          <w:rFonts w:hint="eastAsia"/>
          <w:lang w:eastAsia="zh-CN"/>
        </w:rPr>
        <w:t>）</w:t>
      </w:r>
    </w:p>
    <w:p>
      <w:pPr>
        <w:bidi w:val="0"/>
      </w:pPr>
    </w:p>
    <w:p>
      <w:pPr>
        <w:bidi w:val="0"/>
      </w:pPr>
    </w:p>
    <w:p>
      <w:pPr>
        <w:bidi w:val="0"/>
        <w:rPr>
          <w:rFonts w:hint="eastAsia" w:eastAsia="宋体"/>
          <w:color w:val="000000"/>
          <w:lang w:eastAsia="zh-CN"/>
        </w:rPr>
      </w:pPr>
      <w:r>
        <w:rPr>
          <w:color w:val="000000"/>
        </w:rPr>
        <w:t xml:space="preserve">13. </w:t>
      </w:r>
      <w:r>
        <w:rPr>
          <w:rFonts w:ascii="宋体" w:hAnsi="宋体" w:eastAsia="宋体" w:cs="宋体"/>
          <w:color w:val="000000"/>
        </w:rPr>
        <w:t>阅读图文材料，完成下列要求。</w:t>
      </w:r>
      <w:r>
        <w:rPr>
          <w:rFonts w:hint="default" w:ascii="Times New Roman" w:hAnsi="Times New Roman" w:cs="Times New Roman"/>
          <w:color w:val="000000"/>
          <w:lang w:eastAsia="zh-CN"/>
        </w:rPr>
        <w:t>（</w:t>
      </w:r>
      <w:r>
        <w:rPr>
          <w:rFonts w:hint="default" w:ascii="Times New Roman" w:hAnsi="Times New Roman" w:cs="Times New Roman"/>
          <w:color w:val="000000"/>
          <w:lang w:val="en-US" w:eastAsia="zh-CN"/>
        </w:rPr>
        <w:t>26分</w:t>
      </w:r>
      <w:r>
        <w:rPr>
          <w:rFonts w:hint="default" w:ascii="Times New Roman" w:hAnsi="Times New Roman" w:cs="Times New Roman"/>
          <w:color w:val="000000"/>
          <w:lang w:eastAsia="zh-CN"/>
        </w:rPr>
        <w:t>）</w:t>
      </w:r>
    </w:p>
    <w:p>
      <w:pPr>
        <w:pStyle w:val="4"/>
        <w:bidi w:val="0"/>
      </w:pPr>
      <w:r>
        <w:t>冰川在运动过程中侵蚀下伏地表，常形成U形峡谷和洼地。冰川消融时，挟带的物质就会堆积下来。研究表明，英国湖区国家公园（下图）曾被第四纪冰川覆盖，湖泊和峡谷主要形成于冰川作用。该国家公园年均降水量超过2000毫米；河流流程短但水量较大、水流较急；湖泊较深，最深接近80米；山峰众多，最高峰海拔接近1000米。</w:t>
      </w:r>
    </w:p>
    <w:p>
      <w:pPr>
        <w:spacing w:line="360" w:lineRule="auto"/>
        <w:jc w:val="center"/>
        <w:textAlignment w:val="center"/>
        <w:rPr>
          <w:color w:val="000000"/>
        </w:rPr>
      </w:pPr>
      <w:r>
        <w:rPr>
          <w:color w:val="000000"/>
        </w:rPr>
        <w:drawing>
          <wp:inline distT="0" distB="0" distL="114300" distR="114300">
            <wp:extent cx="3486150" cy="23241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13"/>
                    <a:stretch>
                      <a:fillRect/>
                    </a:stretch>
                  </pic:blipFill>
                  <pic:spPr>
                    <a:xfrm>
                      <a:off x="0" y="0"/>
                      <a:ext cx="3486150" cy="2324100"/>
                    </a:xfrm>
                    <a:prstGeom prst="rect">
                      <a:avLst/>
                    </a:prstGeom>
                  </pic:spPr>
                </pic:pic>
              </a:graphicData>
            </a:graphic>
          </wp:inline>
        </w:drawing>
      </w:r>
    </w:p>
    <w:p>
      <w:pPr>
        <w:bidi w:val="0"/>
        <w:rPr>
          <w:rFonts w:hint="eastAsia" w:eastAsia="宋体"/>
          <w:lang w:eastAsia="zh-CN"/>
        </w:rPr>
      </w:pPr>
      <w:r>
        <w:t>（1）描述该国家公园湖泊的分布及形态特征。</w:t>
      </w:r>
      <w:r>
        <w:rPr>
          <w:rFonts w:hint="eastAsia"/>
          <w:lang w:eastAsia="zh-CN"/>
        </w:rPr>
        <w:t>（</w:t>
      </w:r>
      <w:r>
        <w:rPr>
          <w:rFonts w:hint="eastAsia"/>
          <w:lang w:val="en-US" w:eastAsia="zh-CN"/>
        </w:rPr>
        <w:t>6分</w:t>
      </w:r>
      <w:r>
        <w:rPr>
          <w:rFonts w:hint="eastAsia"/>
          <w:lang w:eastAsia="zh-CN"/>
        </w:rPr>
        <w:t>）</w:t>
      </w:r>
    </w:p>
    <w:p>
      <w:pPr>
        <w:bidi w:val="0"/>
      </w:pPr>
    </w:p>
    <w:p>
      <w:pPr>
        <w:bidi w:val="0"/>
      </w:pPr>
    </w:p>
    <w:p>
      <w:pPr>
        <w:bidi w:val="0"/>
      </w:pPr>
    </w:p>
    <w:p>
      <w:pPr>
        <w:bidi w:val="0"/>
      </w:pPr>
    </w:p>
    <w:p>
      <w:pPr>
        <w:bidi w:val="0"/>
        <w:rPr>
          <w:rFonts w:hint="eastAsia" w:eastAsia="宋体"/>
          <w:lang w:eastAsia="zh-CN"/>
        </w:rPr>
      </w:pPr>
      <w:r>
        <w:t>（2）分析冰川作用对该国家公园湖泊的分布及形态特征的影响。</w:t>
      </w:r>
      <w:r>
        <w:rPr>
          <w:rFonts w:hint="eastAsia"/>
          <w:lang w:eastAsia="zh-CN"/>
        </w:rPr>
        <w:t>（</w:t>
      </w:r>
      <w:r>
        <w:rPr>
          <w:rFonts w:hint="eastAsia"/>
          <w:lang w:val="en-US" w:eastAsia="zh-CN"/>
        </w:rPr>
        <w:t>8分</w:t>
      </w:r>
      <w:r>
        <w:rPr>
          <w:rFonts w:hint="eastAsia"/>
          <w:lang w:eastAsia="zh-CN"/>
        </w:rPr>
        <w:t>）</w:t>
      </w:r>
    </w:p>
    <w:p>
      <w:pPr>
        <w:bidi w:val="0"/>
      </w:pPr>
    </w:p>
    <w:p>
      <w:pPr>
        <w:bidi w:val="0"/>
      </w:pPr>
    </w:p>
    <w:p>
      <w:pPr>
        <w:bidi w:val="0"/>
      </w:pPr>
    </w:p>
    <w:p>
      <w:pPr>
        <w:bidi w:val="0"/>
      </w:pPr>
    </w:p>
    <w:p>
      <w:pPr>
        <w:bidi w:val="0"/>
        <w:rPr>
          <w:rFonts w:hint="eastAsia" w:eastAsia="宋体"/>
          <w:lang w:val="en-US" w:eastAsia="zh-CN"/>
        </w:rPr>
      </w:pPr>
      <w:r>
        <w:t>（3）解释该国家公园河流水量较大、水流较急的原因。</w:t>
      </w:r>
      <w:r>
        <w:rPr>
          <w:rFonts w:hint="eastAsia"/>
          <w:lang w:val="en-US" w:eastAsia="zh-CN"/>
        </w:rPr>
        <w:t>（6分）</w:t>
      </w:r>
    </w:p>
    <w:p>
      <w:pPr>
        <w:bidi w:val="0"/>
      </w:pPr>
    </w:p>
    <w:p>
      <w:pPr>
        <w:bidi w:val="0"/>
      </w:pPr>
    </w:p>
    <w:p>
      <w:pPr>
        <w:bidi w:val="0"/>
      </w:pPr>
    </w:p>
    <w:p>
      <w:pPr>
        <w:bidi w:val="0"/>
      </w:pPr>
    </w:p>
    <w:p>
      <w:pPr>
        <w:bidi w:val="0"/>
        <w:rPr>
          <w:rFonts w:hint="eastAsia" w:eastAsia="宋体"/>
          <w:lang w:eastAsia="zh-CN"/>
        </w:rPr>
      </w:pPr>
      <w:r>
        <w:t>（4）说明该国家公园湖泊水位季节变化小的气候原因。</w:t>
      </w:r>
      <w:r>
        <w:rPr>
          <w:rFonts w:hint="eastAsia"/>
          <w:lang w:eastAsia="zh-CN"/>
        </w:rPr>
        <w:t>（</w:t>
      </w:r>
      <w:r>
        <w:rPr>
          <w:rFonts w:hint="eastAsia"/>
          <w:lang w:val="en-US" w:eastAsia="zh-CN"/>
        </w:rPr>
        <w:t>6分</w:t>
      </w:r>
      <w:r>
        <w:rPr>
          <w:rFonts w:hint="eastAsia"/>
          <w:lang w:eastAsia="zh-CN"/>
        </w:rPr>
        <w:t>）</w:t>
      </w:r>
    </w:p>
    <w:p>
      <w:pPr>
        <w:spacing w:line="360" w:lineRule="auto"/>
        <w:jc w:val="left"/>
        <w:textAlignment w:val="center"/>
        <w:rPr>
          <w:color w:val="000000"/>
        </w:rPr>
      </w:pPr>
    </w:p>
    <w:p>
      <w:pPr>
        <w:rPr>
          <w:rFonts w:hint="eastAsia"/>
          <w:lang w:val="en-US" w:eastAsia="zh-CN"/>
        </w:rPr>
      </w:pPr>
    </w:p>
    <w:sectPr>
      <w:headerReference r:id="rId5" w:type="default"/>
      <w:footerReference r:id="rId6" w:type="default"/>
      <w:pgSz w:w="11906" w:h="16838"/>
      <w:pgMar w:top="1440" w:right="1080" w:bottom="1440" w:left="1080" w:header="851" w:footer="680" w:gutter="0"/>
      <w:pgBorders>
        <w:top w:val="none" w:sz="0" w:space="0"/>
        <w:left w:val="none" w:sz="0" w:space="0"/>
        <w:bottom w:val="none" w:sz="0" w:space="0"/>
        <w:right w:val="none" w:sz="0" w:space="0"/>
      </w:pgBorders>
      <w:pgNumType w:fmt="decimal" w:start="1"/>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NEU-BZ-S92">
    <w:altName w:val="宋体"/>
    <w:panose1 w:val="03000502000000000000"/>
    <w:charset w:val="86"/>
    <w:family w:val="script"/>
    <w:pitch w:val="default"/>
    <w:sig w:usb0="00000000" w:usb1="00000000" w:usb2="000A005E" w:usb3="00000000" w:csb0="003C0041" w:csb1="00000000"/>
  </w:font>
  <w:font w:name="方正书宋_GBK">
    <w:altName w:val="微软雅黑"/>
    <w:panose1 w:val="03000509000000000000"/>
    <w:charset w:val="86"/>
    <w:family w:val="script"/>
    <w:pitch w:val="default"/>
    <w:sig w:usb0="00000000" w:usb1="00000000" w:usb2="00000010" w:usb3="00000000" w:csb0="00040000" w:csb1="00000000"/>
  </w:font>
  <w:font w:name="方正小标宋简体">
    <w:panose1 w:val="03000509000000000000"/>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hd w:val="clear"/>
      <w:jc w:val="center"/>
      <w:rPr>
        <w:rFonts w:hint="default" w:eastAsia="宋体"/>
        <w:color w:val="auto"/>
        <w:sz w:val="20"/>
        <w:szCs w:val="20"/>
        <w:highlight w:val="none"/>
        <w:shd w:val="clear"/>
        <w:lang w:val="en-US" w:eastAsia="zh-CN"/>
      </w:rPr>
    </w:pPr>
    <w:r>
      <w:rPr>
        <w:sz w:val="20"/>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8</w:t>
                    </w:r>
                    <w:r>
                      <w:fldChar w:fldCharType="end"/>
                    </w:r>
                    <w:r>
                      <w:t xml:space="preserve"> 页</w:t>
                    </w:r>
                  </w:p>
                </w:txbxContent>
              </v:textbox>
            </v:shape>
          </w:pict>
        </mc:Fallback>
      </mc:AlternateContent>
    </w:r>
    <w:r>
      <w:rPr>
        <w:color w:val="auto"/>
        <w:sz w:val="20"/>
        <w:szCs w:val="20"/>
        <w:highlight w:val="none"/>
        <w:shd w:val="clear"/>
      </w:rPr>
      <w:pict>
        <v:shape id="_x0000_s4098" o:spid="_x0000_s4098"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auto"/>
        <w:sz w:val="20"/>
        <w:szCs w:val="20"/>
        <w:highlight w:val="none"/>
        <w:shd w:val="clear"/>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7" name="图片 5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3" descr="学科网 zxxk.com"/>
                  <pic:cNvPicPr>
                    <a:picLocks noChangeAspect="1"/>
                  </pic:cNvPicPr>
                </pic:nvPicPr>
                <pic:blipFill>
                  <a:blip r:embed="rId1" r:link="rId2"/>
                  <a:stretch>
                    <a:fillRect/>
                  </a:stretch>
                </pic:blipFill>
                <pic:spPr>
                  <a:xfrm>
                    <a:off x="0" y="0"/>
                    <a:ext cx="635" cy="635"/>
                  </a:xfrm>
                  <a:prstGeom prst="rect">
                    <a:avLst/>
                  </a:prstGeom>
                  <a:noFill/>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1"/>
      </w:pBdr>
      <w:tabs>
        <w:tab w:val="clear" w:pos="4153"/>
        <w:tab w:val="clear" w:pos="8306"/>
      </w:tabs>
      <w:jc w:val="both"/>
      <w:rPr>
        <w:rFonts w:hint="eastAsia" w:eastAsia="宋体"/>
        <w:sz w:val="2"/>
        <w:szCs w:val="2"/>
        <w:lang w:val="en-US" w:eastAsia="zh-CN"/>
      </w:rPr>
    </w:pPr>
    <w:r>
      <w:rPr>
        <w:sz w:val="18"/>
        <w:szCs w:val="21"/>
      </w:rP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5" name="图片 5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1" descr="学科网 zxxk.com"/>
                  <pic:cNvPicPr>
                    <a:picLocks noChangeAspect="1"/>
                  </pic:cNvPicPr>
                </pic:nvPicPr>
                <pic:blipFill>
                  <a:blip r:embed="rId1" r:link="rId2"/>
                  <a:stretch>
                    <a:fillRect/>
                  </a:stretch>
                </pic:blipFill>
                <pic:spPr>
                  <a:xfrm>
                    <a:off x="0" y="0"/>
                    <a:ext cx="9525" cy="9525"/>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isplayBackgroundShape w:val="1"/>
  <w:embedSystemFonts/>
  <w:bordersDoNotSurroundHeader w:val="0"/>
  <w:bordersDoNotSurroundFooter w:val="0"/>
  <w:attachedTemplate r:id="rId1"/>
  <w:documentProtection w:enforcement="0"/>
  <w:defaultTabStop w:val="559"/>
  <w:drawingGridVerticalSpacing w:val="159"/>
  <w:displayHorizontalDrawingGridEvery w:val="1"/>
  <w:displayVerticalDrawingGridEvery w:val="1"/>
  <w:noPunctuationKerning w:val="1"/>
  <w:characterSpacingControl w:val="compressPunctuation"/>
  <w:hdrShapeDefaults>
    <o:shapelayout v:ext="edit">
      <o:idmap v:ext="edit" data="3,4"/>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kwM2Q1OGRmNDEwODQwZDFkZjY2MTgzYTVjMWRlYmIifQ=="/>
  </w:docVars>
  <w:rsids>
    <w:rsidRoot w:val="38653AA8"/>
    <w:rsid w:val="00271769"/>
    <w:rsid w:val="02125874"/>
    <w:rsid w:val="02511125"/>
    <w:rsid w:val="02EF11E0"/>
    <w:rsid w:val="0308532E"/>
    <w:rsid w:val="03314D1D"/>
    <w:rsid w:val="0351647B"/>
    <w:rsid w:val="03823875"/>
    <w:rsid w:val="043517C8"/>
    <w:rsid w:val="044F06A2"/>
    <w:rsid w:val="05E07B33"/>
    <w:rsid w:val="06606BAA"/>
    <w:rsid w:val="07C81BD2"/>
    <w:rsid w:val="085665DD"/>
    <w:rsid w:val="08F55C55"/>
    <w:rsid w:val="09795ED8"/>
    <w:rsid w:val="0A5719F4"/>
    <w:rsid w:val="0BF710B6"/>
    <w:rsid w:val="0CA27F6D"/>
    <w:rsid w:val="0DF235C6"/>
    <w:rsid w:val="117A1FB8"/>
    <w:rsid w:val="13560820"/>
    <w:rsid w:val="14245808"/>
    <w:rsid w:val="1425661F"/>
    <w:rsid w:val="151051AD"/>
    <w:rsid w:val="151505A6"/>
    <w:rsid w:val="15651EC7"/>
    <w:rsid w:val="15DC4AEB"/>
    <w:rsid w:val="16F77687"/>
    <w:rsid w:val="17AD6705"/>
    <w:rsid w:val="18627B26"/>
    <w:rsid w:val="19792817"/>
    <w:rsid w:val="19A726F3"/>
    <w:rsid w:val="1AD414AE"/>
    <w:rsid w:val="1B134E31"/>
    <w:rsid w:val="1B2B697D"/>
    <w:rsid w:val="1BEF4845"/>
    <w:rsid w:val="1C4A593A"/>
    <w:rsid w:val="1C7424BB"/>
    <w:rsid w:val="1CF850DA"/>
    <w:rsid w:val="1E311151"/>
    <w:rsid w:val="1F822FAC"/>
    <w:rsid w:val="1F915A1E"/>
    <w:rsid w:val="1FC35144"/>
    <w:rsid w:val="21DF0DA7"/>
    <w:rsid w:val="21FB1FC8"/>
    <w:rsid w:val="22861EE6"/>
    <w:rsid w:val="23FE3C48"/>
    <w:rsid w:val="244C6AA5"/>
    <w:rsid w:val="24817E00"/>
    <w:rsid w:val="24DF3003"/>
    <w:rsid w:val="258A03E5"/>
    <w:rsid w:val="284D302B"/>
    <w:rsid w:val="286046C0"/>
    <w:rsid w:val="290D009F"/>
    <w:rsid w:val="29225C20"/>
    <w:rsid w:val="2A952A67"/>
    <w:rsid w:val="2B405F6E"/>
    <w:rsid w:val="2CFE1C64"/>
    <w:rsid w:val="2D6362A8"/>
    <w:rsid w:val="2DBC0049"/>
    <w:rsid w:val="2E8C25FF"/>
    <w:rsid w:val="2E991DFC"/>
    <w:rsid w:val="2F6778F2"/>
    <w:rsid w:val="2FD92D9A"/>
    <w:rsid w:val="307D027D"/>
    <w:rsid w:val="326F5A60"/>
    <w:rsid w:val="331C222E"/>
    <w:rsid w:val="33EC3729"/>
    <w:rsid w:val="34446172"/>
    <w:rsid w:val="35A94E4B"/>
    <w:rsid w:val="35B4432A"/>
    <w:rsid w:val="37664296"/>
    <w:rsid w:val="37983F40"/>
    <w:rsid w:val="38415FDC"/>
    <w:rsid w:val="38653AA8"/>
    <w:rsid w:val="396B39B6"/>
    <w:rsid w:val="3A260894"/>
    <w:rsid w:val="3A475A45"/>
    <w:rsid w:val="3BF24643"/>
    <w:rsid w:val="3C9C799F"/>
    <w:rsid w:val="3EB137F4"/>
    <w:rsid w:val="3ED021CA"/>
    <w:rsid w:val="407F713A"/>
    <w:rsid w:val="40FA1332"/>
    <w:rsid w:val="43E56550"/>
    <w:rsid w:val="4434679C"/>
    <w:rsid w:val="445C3320"/>
    <w:rsid w:val="45421516"/>
    <w:rsid w:val="46D54976"/>
    <w:rsid w:val="474B65C4"/>
    <w:rsid w:val="476139C9"/>
    <w:rsid w:val="47A540B8"/>
    <w:rsid w:val="47C94F01"/>
    <w:rsid w:val="48261766"/>
    <w:rsid w:val="48B91CF5"/>
    <w:rsid w:val="49335181"/>
    <w:rsid w:val="495C6E3B"/>
    <w:rsid w:val="4996580B"/>
    <w:rsid w:val="499F46D9"/>
    <w:rsid w:val="4A0B5F87"/>
    <w:rsid w:val="4A4534F8"/>
    <w:rsid w:val="4B240D58"/>
    <w:rsid w:val="4B316775"/>
    <w:rsid w:val="4C1F27D1"/>
    <w:rsid w:val="4C712B5E"/>
    <w:rsid w:val="4C7D7706"/>
    <w:rsid w:val="4CE25BB7"/>
    <w:rsid w:val="4D0D48C2"/>
    <w:rsid w:val="4D4114BC"/>
    <w:rsid w:val="4DC1315C"/>
    <w:rsid w:val="507C2A18"/>
    <w:rsid w:val="509760BC"/>
    <w:rsid w:val="52644CEB"/>
    <w:rsid w:val="528F513F"/>
    <w:rsid w:val="52907E88"/>
    <w:rsid w:val="530D4FE1"/>
    <w:rsid w:val="535237B6"/>
    <w:rsid w:val="54715AFF"/>
    <w:rsid w:val="54982C54"/>
    <w:rsid w:val="553C21CE"/>
    <w:rsid w:val="55A9315C"/>
    <w:rsid w:val="5615572F"/>
    <w:rsid w:val="5772462D"/>
    <w:rsid w:val="584032C1"/>
    <w:rsid w:val="5A6428FD"/>
    <w:rsid w:val="5B3F3078"/>
    <w:rsid w:val="5B9104C7"/>
    <w:rsid w:val="5C2F6C8E"/>
    <w:rsid w:val="5CE47FB1"/>
    <w:rsid w:val="5F1B3002"/>
    <w:rsid w:val="5FAC7002"/>
    <w:rsid w:val="5FDC33D5"/>
    <w:rsid w:val="60BE4D86"/>
    <w:rsid w:val="60C1494C"/>
    <w:rsid w:val="61B1667A"/>
    <w:rsid w:val="623161EC"/>
    <w:rsid w:val="62774F17"/>
    <w:rsid w:val="62AA49F4"/>
    <w:rsid w:val="62D97141"/>
    <w:rsid w:val="62E50DCE"/>
    <w:rsid w:val="65D2447B"/>
    <w:rsid w:val="65DA7B27"/>
    <w:rsid w:val="66D37748"/>
    <w:rsid w:val="67EE3F38"/>
    <w:rsid w:val="68BF65E6"/>
    <w:rsid w:val="68F7287C"/>
    <w:rsid w:val="69761282"/>
    <w:rsid w:val="6A727EA8"/>
    <w:rsid w:val="6AC53A8A"/>
    <w:rsid w:val="6C4F025D"/>
    <w:rsid w:val="6E7754A3"/>
    <w:rsid w:val="6EF130D7"/>
    <w:rsid w:val="6F802D90"/>
    <w:rsid w:val="6F896C52"/>
    <w:rsid w:val="6FBF058B"/>
    <w:rsid w:val="70493C15"/>
    <w:rsid w:val="70D57E48"/>
    <w:rsid w:val="711279E6"/>
    <w:rsid w:val="711E7495"/>
    <w:rsid w:val="71533BDA"/>
    <w:rsid w:val="718C5BAF"/>
    <w:rsid w:val="73C81496"/>
    <w:rsid w:val="74BD7729"/>
    <w:rsid w:val="767859D3"/>
    <w:rsid w:val="76BF3A84"/>
    <w:rsid w:val="77226D00"/>
    <w:rsid w:val="776D1464"/>
    <w:rsid w:val="777C7BE6"/>
    <w:rsid w:val="786A5025"/>
    <w:rsid w:val="79F44131"/>
    <w:rsid w:val="7A4B208E"/>
    <w:rsid w:val="7B5B4ACF"/>
    <w:rsid w:val="7B6D01CD"/>
    <w:rsid w:val="7BB70DC8"/>
    <w:rsid w:val="7C402716"/>
    <w:rsid w:val="7D157D55"/>
    <w:rsid w:val="7D91669E"/>
    <w:rsid w:val="7DF62E4B"/>
    <w:rsid w:val="7F8D02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autoSpaceDE w:val="0"/>
      <w:autoSpaceDN w:val="0"/>
      <w:adjustRightInd w:val="0"/>
      <w:snapToGrid w:val="0"/>
      <w:spacing w:line="360" w:lineRule="auto"/>
      <w:jc w:val="left"/>
      <w:textAlignment w:val="baseline"/>
    </w:pPr>
    <w:rPr>
      <w:rFonts w:ascii="Times New Roman" w:hAnsi="Times New Roman" w:eastAsia="宋体" w:cs="Arial"/>
      <w:snapToGrid w:val="0"/>
      <w:color w:val="000000"/>
      <w:kern w:val="0"/>
      <w:sz w:val="24"/>
      <w:szCs w:val="21"/>
      <w:lang w:val="en-US" w:eastAsia="en-US" w:bidi="ar-SA"/>
    </w:rPr>
  </w:style>
  <w:style w:type="paragraph" w:styleId="2">
    <w:name w:val="heading 1"/>
    <w:basedOn w:val="1"/>
    <w:next w:val="1"/>
    <w:qFormat/>
    <w:uiPriority w:val="0"/>
    <w:pPr>
      <w:keepNext/>
      <w:keepLines/>
      <w:spacing w:before="50" w:beforeLines="50" w:beforeAutospacing="0" w:after="50" w:afterLines="50" w:afterAutospacing="0" w:line="360" w:lineRule="auto"/>
      <w:jc w:val="center"/>
      <w:outlineLvl w:val="0"/>
    </w:pPr>
    <w:rPr>
      <w:rFonts w:ascii="Arial" w:hAnsi="Arial" w:eastAsia="黑体"/>
      <w:b/>
      <w:kern w:val="44"/>
      <w:sz w:val="28"/>
    </w:rPr>
  </w:style>
  <w:style w:type="paragraph" w:styleId="3">
    <w:name w:val="heading 2"/>
    <w:basedOn w:val="1"/>
    <w:next w:val="1"/>
    <w:unhideWhenUsed/>
    <w:qFormat/>
    <w:uiPriority w:val="0"/>
    <w:pPr>
      <w:keepNext/>
      <w:keepLines/>
      <w:spacing w:beforeLines="0" w:beforeAutospacing="0" w:afterLines="0" w:afterAutospacing="0" w:line="240" w:lineRule="auto"/>
      <w:jc w:val="center"/>
      <w:outlineLvl w:val="1"/>
    </w:pPr>
    <w:rPr>
      <w:rFonts w:ascii="Times New Roman" w:hAnsi="Times New Roman" w:eastAsia="宋体"/>
      <w:b/>
      <w:sz w:val="24"/>
    </w:rPr>
  </w:style>
  <w:style w:type="character" w:default="1" w:styleId="12">
    <w:name w:val="Default Paragraph Font"/>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Body Text"/>
    <w:basedOn w:val="1"/>
    <w:link w:val="14"/>
    <w:qFormat/>
    <w:uiPriority w:val="0"/>
    <w:pPr>
      <w:kinsoku/>
      <w:overflowPunct w:val="0"/>
      <w:spacing w:line="360" w:lineRule="auto"/>
      <w:ind w:firstLine="562" w:firstLineChars="200"/>
    </w:pPr>
    <w:rPr>
      <w:rFonts w:eastAsia="楷体"/>
    </w:rPr>
  </w:style>
  <w:style w:type="paragraph" w:styleId="5">
    <w:name w:val="Plain Text"/>
    <w:basedOn w:val="1"/>
    <w:qFormat/>
    <w:uiPriority w:val="0"/>
    <w:rPr>
      <w:rFonts w:ascii="宋体" w:hAnsi="Courier New" w:eastAsia="宋体" w:cs="Courier New"/>
      <w:szCs w:val="21"/>
    </w:rPr>
  </w:style>
  <w:style w:type="paragraph" w:styleId="6">
    <w:name w:val="footer"/>
    <w:basedOn w:val="1"/>
    <w:qFormat/>
    <w:uiPriority w:val="0"/>
    <w:pPr>
      <w:tabs>
        <w:tab w:val="center" w:pos="4153"/>
        <w:tab w:val="right" w:pos="8306"/>
      </w:tabs>
      <w:snapToGrid w:val="0"/>
      <w:jc w:val="left"/>
    </w:pPr>
    <w:rPr>
      <w:rFonts w:ascii="Times New Roman" w:hAnsi="Times New Roman" w:eastAsia="宋体"/>
      <w:sz w:val="24"/>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Arial" w:hAnsi="Arial" w:eastAsia="宋体"/>
      <w:sz w:val="18"/>
    </w:rPr>
  </w:style>
  <w:style w:type="paragraph" w:styleId="8">
    <w:name w:val="toc 1"/>
    <w:basedOn w:val="1"/>
    <w:next w:val="1"/>
    <w:qFormat/>
    <w:uiPriority w:val="0"/>
  </w:style>
  <w:style w:type="paragraph" w:styleId="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
    <w:name w:val="选项"/>
    <w:basedOn w:val="1"/>
    <w:qFormat/>
    <w:uiPriority w:val="0"/>
    <w:pPr>
      <w:widowControl w:val="0"/>
      <w:shd w:val="clear" w:color="auto" w:fill="auto"/>
      <w:tabs>
        <w:tab w:val="left" w:pos="263"/>
        <w:tab w:val="left" w:pos="2573"/>
        <w:tab w:val="left" w:pos="5093"/>
        <w:tab w:val="left" w:pos="7613"/>
      </w:tabs>
      <w:kinsoku/>
      <w:autoSpaceDE/>
      <w:autoSpaceDN/>
      <w:adjustRightInd w:val="0"/>
      <w:snapToGrid w:val="0"/>
      <w:spacing w:after="0" w:line="360" w:lineRule="auto"/>
      <w:ind w:left="612" w:hanging="306"/>
      <w:textAlignment w:val="center"/>
    </w:pPr>
    <w:rPr>
      <w:rFonts w:cs="Times New Roman"/>
      <w:snapToGrid/>
      <w:kern w:val="2"/>
      <w:szCs w:val="20"/>
      <w:lang w:eastAsia="zh-CN"/>
    </w:rPr>
  </w:style>
  <w:style w:type="character" w:customStyle="1" w:styleId="14">
    <w:name w:val="正文文本 Char"/>
    <w:link w:val="4"/>
    <w:qFormat/>
    <w:uiPriority w:val="0"/>
    <w:rPr>
      <w:rFonts w:eastAsia="楷体"/>
      <w:sz w:val="24"/>
    </w:rPr>
  </w:style>
  <w:style w:type="paragraph" w:customStyle="1" w:styleId="15">
    <w:name w:val="WPSOffice手动目录 1"/>
    <w:qFormat/>
    <w:uiPriority w:val="0"/>
    <w:pPr>
      <w:ind w:leftChars="0"/>
    </w:pPr>
    <w:rPr>
      <w:rFonts w:asciiTheme="minorHAnsi" w:hAnsiTheme="minorHAnsi" w:eastAsiaTheme="minorEastAsia" w:cstheme="minorBidi"/>
      <w:sz w:val="20"/>
      <w:szCs w:val="20"/>
    </w:rPr>
  </w:style>
  <w:style w:type="paragraph" w:styleId="16">
    <w:name w:val="No Spacing"/>
    <w:qFormat/>
    <w:uiPriority w:val="0"/>
    <w:rPr>
      <w:rFonts w:ascii="NEU-BZ-S92" w:hAnsi="NEU-BZ-S92" w:eastAsia="方正书宋_GBK" w:cs="Times New Roman"/>
      <w:color w:val="000000"/>
      <w:sz w:val="18"/>
      <w:szCs w:val="22"/>
      <w:lang w:val="en-US" w:eastAsia="zh-CN" w:bidi="ar-SA"/>
    </w:rPr>
  </w:style>
  <w:style w:type="paragraph" w:customStyle="1" w:styleId="17">
    <w:name w:val="题型标题"/>
    <w:basedOn w:val="1"/>
    <w:qFormat/>
    <w:uiPriority w:val="0"/>
    <w:pPr>
      <w:wordWrap w:val="0"/>
      <w:spacing w:line="240" w:lineRule="auto"/>
    </w:pPr>
    <w:rPr>
      <w:rFonts w:hint="eastAsia" w:ascii="黑体" w:hAnsi="黑体" w:eastAsia="黑体" w:cs="黑体"/>
      <w:sz w:val="28"/>
      <w:szCs w:val="20"/>
    </w:rPr>
  </w:style>
  <w:style w:type="paragraph" w:customStyle="1" w:styleId="18">
    <w:name w:val="考试名称"/>
    <w:basedOn w:val="1"/>
    <w:qFormat/>
    <w:uiPriority w:val="0"/>
    <w:pPr>
      <w:spacing w:line="240" w:lineRule="auto"/>
      <w:ind w:firstLine="0" w:firstLineChars="0"/>
      <w:jc w:val="center"/>
    </w:pPr>
    <w:rPr>
      <w:rFonts w:ascii="Times New Roman" w:hAnsi="Times New Roman" w:eastAsia="宋体"/>
      <w:sz w:val="36"/>
      <w:szCs w:val="28"/>
      <w:lang w:eastAsia="zh-CN"/>
    </w:rPr>
  </w:style>
  <w:style w:type="paragraph" w:customStyle="1" w:styleId="19">
    <w:name w:val="科目名称"/>
    <w:basedOn w:val="1"/>
    <w:qFormat/>
    <w:uiPriority w:val="0"/>
    <w:pPr>
      <w:spacing w:before="50" w:beforeLines="50" w:after="50" w:afterLines="50" w:line="240" w:lineRule="auto"/>
      <w:jc w:val="center"/>
    </w:pPr>
    <w:rPr>
      <w:rFonts w:hint="eastAsia" w:ascii="黑体" w:hAnsi="黑体" w:eastAsia="黑体" w:cs="黑体"/>
      <w:sz w:val="48"/>
      <w:szCs w:val="40"/>
      <w:lang w:eastAsia="zh-CN"/>
    </w:rPr>
  </w:style>
  <w:style w:type="paragraph" w:customStyle="1" w:styleId="20">
    <w:name w:val="注意事项内容"/>
    <w:basedOn w:val="1"/>
    <w:qFormat/>
    <w:uiPriority w:val="0"/>
    <w:pPr>
      <w:spacing w:beforeLines="0" w:afterLines="0" w:line="240" w:lineRule="auto"/>
      <w:ind w:firstLine="560" w:firstLineChars="200"/>
    </w:pPr>
    <w:rPr>
      <w:rFonts w:hint="eastAsia" w:ascii="楷体" w:hAnsi="楷体" w:eastAsia="楷体" w:cs="楷体"/>
      <w:sz w:val="28"/>
      <w:szCs w:val="22"/>
      <w:lang w:eastAsia="zh-CN"/>
    </w:rPr>
  </w:style>
  <w:style w:type="paragraph" w:customStyle="1" w:styleId="21">
    <w:name w:val="第几卷"/>
    <w:basedOn w:val="1"/>
    <w:qFormat/>
    <w:uiPriority w:val="0"/>
    <w:pPr>
      <w:spacing w:before="50" w:beforeLines="50" w:after="50" w:afterLines="50" w:line="240" w:lineRule="auto"/>
      <w:jc w:val="center"/>
    </w:pPr>
    <w:rPr>
      <w:rFonts w:hint="eastAsia" w:ascii="方正小标宋简体" w:hAnsi="方正小标宋简体" w:eastAsia="方正小标宋简体" w:cs="方正小标宋简体"/>
      <w:sz w:val="32"/>
      <w:szCs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wmf"/><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2525252525252525252525252525252525252525252525252525252525257B75232B38-A165-1FB7-499C-2E1C792CACB5%25252525252525252525252525252525252525252525252525252525252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2525252525252525252525252525252525252525252525252525252525257B75232B38-A165-1FB7-499C-2E1C792CACB5%25252525252525252525252525252525252525252525252525252525252525257D.png"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BaiduSyncdisk\&#22320;&#29702;\&#35797;&#21367;\&#35797;&#21367;&#27169;&#26495;&#65288;A4&#32440;&#65289;.dotx"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409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试卷模板（A4纸）.dotx</Template>
  <Pages>1</Pages>
  <Words>246</Words>
  <Characters>258</Characters>
  <Lines>0</Lines>
  <Paragraphs>0</Paragraphs>
  <TotalTime>3</TotalTime>
  <ScaleCrop>false</ScaleCrop>
  <LinksUpToDate>false</LinksUpToDate>
  <CharactersWithSpaces>262</CharactersWithSpaces>
  <Application>WPS Office_11.8.2.12055_F1E327BC-269C-435d-A152-05C5408002CA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2025-08-06T23:01:00Z</dcterms:created>
  <dc:creator>Deledy</dc:creator>
  <cp:lastModifiedBy>Deledy</cp:lastModifiedBy>
  <dcterms:modified xsi:type="dcterms:W3CDTF">2026-04-04T13:08:56Z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2052-11.8.2.12055</vt:lpwstr>
  </property>
  <property fmtid="{D5CDD505-2E9C-101B-9397-08002B2CF9AE}" pid="3" name="ICV">
    <vt:lpwstr>AD6B70C41565456CA48EB057B405DBCB</vt:lpwstr>
  </property>
</Properties>
</file>