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"/>
        <w:bidi w:val="0"/>
      </w:pPr>
      <w:bookmarkStart w:id="0" w:name="_bookmark1"/>
      <w:bookmarkEnd w:id="0"/>
      <w:r>
        <w:t>2025年天津市普通高中学业水平等级性考试</w:t>
      </w:r>
    </w:p>
    <w:p>
      <w:pPr>
        <w:pStyle w:val="19"/>
        <w:bidi w:val="0"/>
      </w:pPr>
      <w:r>
        <w:t>地</w:t>
      </w:r>
      <w:r>
        <w:rPr>
          <w:rFonts w:hint="eastAsia"/>
          <w:lang w:val="en-US" w:eastAsia="zh-CN"/>
        </w:rPr>
        <w:t xml:space="preserve">  </w:t>
      </w:r>
      <w:r>
        <w:t>理</w:t>
      </w:r>
    </w:p>
    <w:p>
      <w:pPr>
        <w:pStyle w:val="17"/>
        <w:bidi w:val="0"/>
      </w:pPr>
      <w:r>
        <w:rPr>
          <w:rFonts w:hint="eastAsia"/>
          <w:lang w:val="en-US" w:eastAsia="zh-CN"/>
        </w:rPr>
        <w:t>一、选择题</w:t>
      </w:r>
      <w:r>
        <w:t>，每题3分，共45分。在每题列出的四个选顶中，只有一项是最符合题目要求的。</w:t>
      </w:r>
    </w:p>
    <w:p>
      <w:pPr>
        <w:pStyle w:val="4"/>
        <w:bidi w:val="0"/>
      </w:pPr>
      <w:r>
        <w:t>每年春天，天津市民和游客都能欣赏到</w:t>
      </w:r>
      <w:r>
        <w:rPr>
          <w:rFonts w:hint="eastAsia" w:eastAsia="宋体"/>
          <w:lang w:eastAsia="zh-CN"/>
        </w:rPr>
        <w:t>“</w:t>
      </w:r>
      <w:r>
        <w:t>海棠映洋楼</w:t>
      </w:r>
      <w:r>
        <w:rPr>
          <w:rFonts w:hint="eastAsia" w:eastAsia="宋体"/>
          <w:lang w:eastAsia="zh-CN"/>
        </w:rPr>
        <w:t>”</w:t>
      </w:r>
      <w:r>
        <w:t>的独特城市美景。下图市民拍摄的街景照片，道路一侧的海棠已盛开，而另一侧的却含苞待放。</w:t>
      </w:r>
      <w:r>
        <w:rPr>
          <w:rFonts w:hint="eastAsia" w:ascii="宋体" w:hAnsi="宋体" w:eastAsia="宋体" w:cs="宋体"/>
        </w:rPr>
        <w:t>读图文材料，完成下面小题。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4683760" cy="1715135"/>
            <wp:effectExtent l="0" t="0" r="2540" b="1841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天津打造特色赏花旅游的主要目的是（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pStyle w:val="13"/>
        <w:bidi w:val="0"/>
      </w:pPr>
      <w:r>
        <w:t>A. 改善生态环境</w:t>
      </w:r>
      <w:r>
        <w:tab/>
      </w:r>
      <w:r>
        <w:t>B. 保护风貌建筑</w:t>
      </w:r>
      <w:r>
        <w:tab/>
      </w:r>
      <w:r>
        <w:t>C. 吸引人口迁入</w:t>
      </w:r>
      <w:r>
        <w:tab/>
      </w:r>
      <w:r>
        <w:t>D. 提升经济活力</w:t>
      </w:r>
    </w:p>
    <w:p>
      <w:pPr>
        <w:spacing w:line="360" w:lineRule="auto"/>
        <w:jc w:val="left"/>
      </w:pPr>
      <w:r>
        <w:rPr>
          <w:color w:val="auto"/>
        </w:rPr>
        <w:t xml:space="preserve">2. </w:t>
      </w:r>
      <w:r>
        <w:rPr>
          <w:rFonts w:ascii="宋体" w:hAnsi="宋体" w:eastAsia="宋体" w:cs="宋体"/>
          <w:color w:val="auto"/>
        </w:rPr>
        <w:t>拍摄下图时，拍摄者所处道路的大致走向和镜头朝向为（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pStyle w:val="13"/>
        <w:bidi w:val="0"/>
      </w:pPr>
      <w:r>
        <w:t>A. 东西走向朝东</w:t>
      </w:r>
      <w:r>
        <w:tab/>
      </w:r>
      <w:r>
        <w:t>B. 东西走向朝西</w:t>
      </w:r>
      <w:r>
        <w:tab/>
      </w:r>
      <w:r>
        <w:t>C. 南北走向朝南</w:t>
      </w:r>
      <w:r>
        <w:tab/>
      </w:r>
      <w:r>
        <w:t>D. 南北走向朝北</w:t>
      </w:r>
    </w:p>
    <w:p>
      <w:pPr>
        <w:pStyle w:val="4"/>
        <w:bidi w:val="0"/>
      </w:pPr>
      <w:r>
        <w:t>下图为某地的地质剖面示意图。</w:t>
      </w:r>
      <w:r>
        <w:rPr>
          <w:rFonts w:hint="eastAsia" w:ascii="宋体" w:hAnsi="宋体" w:eastAsia="宋体" w:cs="宋体"/>
        </w:rPr>
        <w:t>读图文材料，完成下面小题。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18585" cy="1447800"/>
            <wp:effectExtent l="0" t="0" r="571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该地最可能发现裸子植物化石的岩层是（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奥陶纪页岩</w:t>
      </w:r>
      <w:r>
        <w:tab/>
      </w:r>
      <w:r>
        <w:t>B. 二叠纪石灰岩</w:t>
      </w:r>
      <w:r>
        <w:tab/>
      </w:r>
      <w:r>
        <w:t>C. 二叠纪玄武岩</w:t>
      </w:r>
      <w:r>
        <w:tab/>
      </w:r>
      <w:r>
        <w:t>D. 三叠纪粉砂岩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与甲、丙两地相比，乙地曾遭受更强烈侵蚀的主要原因是（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岩性差异</w:t>
      </w:r>
      <w:r>
        <w:tab/>
      </w:r>
      <w:r>
        <w:t>B. 气候差异</w:t>
      </w:r>
      <w:r>
        <w:tab/>
      </w:r>
      <w:r>
        <w:t>C. 地质构造差异</w:t>
      </w:r>
      <w:r>
        <w:tab/>
      </w:r>
      <w:r>
        <w:t>D. 地形条件差异</w:t>
      </w:r>
    </w:p>
    <w:p>
      <w:pPr>
        <w:pStyle w:val="4"/>
        <w:bidi w:val="0"/>
        <w:rPr>
          <w:color w:val="000000"/>
        </w:rPr>
      </w:pPr>
      <w:r>
        <w:rPr>
          <w:rFonts w:ascii="楷体" w:hAnsi="楷体" w:eastAsia="楷体" w:cs="楷体"/>
          <w:color w:val="000000"/>
        </w:rPr>
        <w:t>阿尔山地区位于大兴安岭西坡，区域内海拔最高处为</w:t>
      </w:r>
      <w:r>
        <w:rPr>
          <w:rFonts w:ascii="Times New Roman" w:hAnsi="Times New Roman" w:eastAsia="Times New Roman" w:cs="Times New Roman"/>
          <w:color w:val="000000"/>
        </w:rPr>
        <w:t>1712</w:t>
      </w:r>
      <w:r>
        <w:rPr>
          <w:rFonts w:ascii="楷体" w:hAnsi="楷体" w:eastAsia="楷体" w:cs="楷体"/>
          <w:color w:val="000000"/>
        </w:rPr>
        <w:t>米，土壤肥沃，森林茂密，地质历史时期有多次火山喷发。图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楷体" w:hAnsi="楷体" w:eastAsia="楷体" w:cs="楷体"/>
          <w:color w:val="000000"/>
        </w:rPr>
        <w:t>和图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楷体" w:hAnsi="楷体" w:eastAsia="楷体" w:cs="楷体"/>
          <w:color w:val="000000"/>
        </w:rPr>
        <w:t>分别表示该地区多年来的年平均气温与年降水量变化。</w:t>
      </w:r>
      <w:r>
        <w:rPr>
          <w:rFonts w:hint="eastAsia" w:ascii="宋体" w:hAnsi="宋体" w:eastAsia="宋体" w:cs="宋体"/>
        </w:rPr>
        <w:t>读图文材料，完成下面小题。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128260" cy="1568450"/>
            <wp:effectExtent l="0" t="0" r="15240" b="1270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该地区土壤肥沃的原因是（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①火山岩风化，母质养分含量高    ②植被茂密，有机质来源较丰富</w:t>
      </w:r>
    </w:p>
    <w:p>
      <w:pPr>
        <w:pStyle w:val="13"/>
        <w:bidi w:val="0"/>
      </w:pPr>
      <w:r>
        <w:t>③气温较低，利于有机质的积累    ④耕作历史悠久，土壤得到改良</w:t>
      </w:r>
    </w:p>
    <w:p>
      <w:pPr>
        <w:pStyle w:val="13"/>
        <w:bidi w:val="0"/>
      </w:pPr>
      <w:r>
        <w:t>A. ①②③</w:t>
      </w:r>
      <w:r>
        <w:tab/>
      </w:r>
      <w:r>
        <w:t>B. ①②④</w:t>
      </w:r>
      <w:r>
        <w:tab/>
      </w:r>
      <w:r>
        <w:t>C. ①③④</w:t>
      </w:r>
      <w:r>
        <w:tab/>
      </w:r>
      <w:r>
        <w:t>D. ②③④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该地区气温和降水总体变化产生</w:t>
      </w:r>
      <w:r>
        <w:rPr>
          <w:rFonts w:hint="eastAsia" w:ascii="宋体" w:hAnsi="宋体" w:cs="宋体"/>
          <w:color w:val="000000"/>
          <w:lang w:val="en-US" w:eastAsia="zh-CN"/>
        </w:rPr>
        <w:t>的</w:t>
      </w:r>
      <w:r>
        <w:rPr>
          <w:rFonts w:ascii="宋体" w:hAnsi="宋体" w:eastAsia="宋体" w:cs="宋体"/>
          <w:color w:val="000000"/>
        </w:rPr>
        <w:t>影</w:t>
      </w:r>
      <w:bookmarkStart w:id="1" w:name="_GoBack"/>
      <w:bookmarkEnd w:id="1"/>
      <w:r>
        <w:rPr>
          <w:rFonts w:ascii="宋体" w:hAnsi="宋体" w:eastAsia="宋体" w:cs="宋体"/>
          <w:color w:val="000000"/>
        </w:rPr>
        <w:t>响，最可能是（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针叶林带分布下限降低</w:t>
      </w:r>
      <w:r>
        <w:tab/>
      </w:r>
      <w:r>
        <w:t>B. 植被覆盖度显著降低</w:t>
      </w:r>
    </w:p>
    <w:p>
      <w:pPr>
        <w:pStyle w:val="13"/>
        <w:bidi w:val="0"/>
      </w:pPr>
      <w:r>
        <w:t>C. 植物群落结构更为复杂</w:t>
      </w:r>
      <w:r>
        <w:tab/>
      </w:r>
      <w:r>
        <w:t>D. 生态系统稳定性减弱</w:t>
      </w:r>
    </w:p>
    <w:p>
      <w:pPr>
        <w:pStyle w:val="4"/>
        <w:bidi w:val="0"/>
        <w:rPr>
          <w:color w:val="000000"/>
        </w:rPr>
      </w:pPr>
      <w:r>
        <w:rPr>
          <w:rFonts w:ascii="楷体" w:hAnsi="楷体" w:eastAsia="楷体" w:cs="楷体"/>
          <w:color w:val="000000"/>
        </w:rPr>
        <w:t>海雾是发生在海洋或岛屿的天气现象，我国某沿海城市观测获得</w:t>
      </w:r>
      <w:r>
        <w:rPr>
          <w:rFonts w:ascii="Times New Roman" w:hAnsi="Times New Roman" w:eastAsia="Times New Roman" w:cs="Times New Roman"/>
          <w:color w:val="000000"/>
        </w:rPr>
        <w:t>2016-2020</w:t>
      </w:r>
      <w:r>
        <w:rPr>
          <w:rFonts w:ascii="楷体" w:hAnsi="楷体" w:eastAsia="楷体" w:cs="楷体"/>
          <w:color w:val="000000"/>
        </w:rPr>
        <w:t>年某类海雾生消时间的频率分布（下图）。</w:t>
      </w:r>
      <w:r>
        <w:rPr>
          <w:rFonts w:hint="eastAsia" w:ascii="宋体" w:hAnsi="宋体" w:eastAsia="宋体" w:cs="宋体"/>
        </w:rPr>
        <w:t>读图文材料，完成下面小题。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143500" cy="19526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根据雾的生消时间，推测此类雾的成因是（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冷空气流经暖水面时，水面蒸发的水汽遇冷凝结</w:t>
      </w:r>
    </w:p>
    <w:p>
      <w:pPr>
        <w:pStyle w:val="13"/>
        <w:bidi w:val="0"/>
      </w:pPr>
      <w:r>
        <w:t>B. 暖湿空气流经冷下垫面时，空气中水汽冷却凝结</w:t>
      </w:r>
    </w:p>
    <w:p>
      <w:pPr>
        <w:pStyle w:val="13"/>
        <w:bidi w:val="0"/>
      </w:pPr>
      <w:r>
        <w:t>C. 下垫面和大气辐射冷却，导致空气中的水汽凝结</w:t>
      </w:r>
    </w:p>
    <w:p>
      <w:pPr>
        <w:pStyle w:val="13"/>
        <w:bidi w:val="0"/>
      </w:pPr>
      <w:r>
        <w:t>D. 暖锋边缘蒸发出的水汽，遇到近地面冷空气凝结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判断此类雾不同季节频率高低及原因对应正确的是（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春季低    水汽含量较低</w:t>
      </w:r>
      <w:r>
        <w:tab/>
      </w:r>
      <w:r>
        <w:t>B. 夏季低    夜间气温较高</w:t>
      </w:r>
    </w:p>
    <w:p>
      <w:pPr>
        <w:pStyle w:val="13"/>
        <w:bidi w:val="0"/>
      </w:pPr>
      <w:r>
        <w:t>C. 秋季高    大气结构稳定</w:t>
      </w:r>
      <w:r>
        <w:tab/>
      </w:r>
      <w:r>
        <w:t>D. 冬季高    寒潮活动频繁</w:t>
      </w:r>
    </w:p>
    <w:p>
      <w:pPr>
        <w:pStyle w:val="4"/>
        <w:bidi w:val="0"/>
        <w:rPr>
          <w:color w:val="000000"/>
        </w:rPr>
      </w:pPr>
      <w:r>
        <w:rPr>
          <w:rFonts w:ascii="楷体" w:hAnsi="楷体" w:eastAsia="楷体" w:cs="楷体"/>
          <w:color w:val="000000"/>
        </w:rPr>
        <w:t>京津冀、长三角、珠三角、成渝以及长江中游五大城市群间存在着广泛的人口流动。下图显示</w:t>
      </w:r>
      <w:r>
        <w:rPr>
          <w:rFonts w:ascii="Times New Roman" w:hAnsi="Times New Roman" w:eastAsia="Times New Roman" w:cs="Times New Roman"/>
          <w:color w:val="000000"/>
        </w:rPr>
        <w:t>2023</w:t>
      </w:r>
      <w:r>
        <w:rPr>
          <w:rFonts w:ascii="楷体" w:hAnsi="楷体" w:eastAsia="楷体" w:cs="楷体"/>
          <w:color w:val="000000"/>
        </w:rPr>
        <w:t>年工作周（不含节假日）五大城市群间的人口联系。</w:t>
      </w:r>
      <w:r>
        <w:rPr>
          <w:rFonts w:hint="eastAsia" w:ascii="宋体" w:hAnsi="宋体" w:eastAsia="宋体" w:cs="宋体"/>
        </w:rPr>
        <w:t>读图文材料，完成下面小题。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61335" cy="2563495"/>
            <wp:effectExtent l="0" t="0" r="5715" b="825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图反映出（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各城市群间人口联系重心偏向成渝</w:t>
      </w:r>
      <w:r>
        <w:tab/>
      </w:r>
      <w:r>
        <w:t>B. 京津冀与其他城市群联系相对均衡</w:t>
      </w:r>
    </w:p>
    <w:p>
      <w:pPr>
        <w:pStyle w:val="13"/>
        <w:bidi w:val="0"/>
      </w:pPr>
      <w:r>
        <w:t>C. 城市群间人口联系与距离成负相关</w:t>
      </w:r>
      <w:r>
        <w:tab/>
      </w:r>
      <w:r>
        <w:t>D. 沿海城市群间人口流动规模差异大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城市群间人口流动存在差异，最主要的影响因素是（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气候条件</w:t>
      </w:r>
      <w:r>
        <w:tab/>
      </w:r>
      <w:r>
        <w:t>B. 经济联系</w:t>
      </w:r>
      <w:r>
        <w:tab/>
      </w:r>
      <w:r>
        <w:t>C. 地域文化</w:t>
      </w:r>
      <w:r>
        <w:tab/>
      </w:r>
      <w:r>
        <w:t>D. 交通网络</w:t>
      </w:r>
    </w:p>
    <w:p>
      <w:pPr>
        <w:pStyle w:val="4"/>
        <w:bidi w:val="0"/>
      </w:pPr>
      <w:r>
        <w:t>为促进成渝双城经济圈高质量发展，两地共建了全国首个跨省新区——高竹新区。新区内布局了先进制造业、高品质住宅、生态康养和都市农业等功能区（下图）。</w:t>
      </w:r>
      <w:r>
        <w:rPr>
          <w:rFonts w:hint="eastAsia" w:ascii="宋体" w:hAnsi="宋体" w:eastAsia="宋体" w:cs="宋体"/>
        </w:rPr>
        <w:t>读图文材料，完成下面小题。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72865" cy="3204845"/>
            <wp:effectExtent l="0" t="0" r="13335" b="1460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影响高竹新区选址的主要因素是（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国家政策</w:t>
      </w:r>
      <w:r>
        <w:tab/>
      </w:r>
      <w:r>
        <w:t>B. 人口数量</w:t>
      </w:r>
      <w:r>
        <w:tab/>
      </w:r>
      <w:r>
        <w:t>C. 生活成本</w:t>
      </w:r>
      <w:r>
        <w:tab/>
      </w:r>
      <w:r>
        <w:t>D. 基础设施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关于新区内部各功能区布局及原因的描述，正确的是（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①都市农业区——靠近公路，便于产品运输</w:t>
      </w:r>
    </w:p>
    <w:p>
      <w:pPr>
        <w:pStyle w:val="13"/>
        <w:bidi w:val="0"/>
      </w:pPr>
      <w:r>
        <w:t>B. ②生态康养区——依山傍水，生态环境良好</w:t>
      </w:r>
    </w:p>
    <w:p>
      <w:pPr>
        <w:pStyle w:val="13"/>
        <w:bidi w:val="0"/>
      </w:pPr>
      <w:r>
        <w:t>C. ③先进制造业区——土地集中连片，利于产业集聚</w:t>
      </w:r>
    </w:p>
    <w:p>
      <w:pPr>
        <w:pStyle w:val="13"/>
        <w:bidi w:val="0"/>
      </w:pPr>
      <w:r>
        <w:t>D. ④高品质住宅区——地形平坦开阔，开发成本较低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红树林是蓝碳生态系统的重要组成部分，保护红树林对促进生态文明建设具有重要意义。红树林在蓝碳生态系统中发挥的作用是（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维持海岸稳定</w:t>
      </w:r>
      <w:r>
        <w:tab/>
      </w:r>
      <w:r>
        <w:t>B. 增加海洋碳汇</w:t>
      </w:r>
      <w:r>
        <w:tab/>
      </w:r>
      <w:r>
        <w:t>C. 培育渔业资源</w:t>
      </w:r>
      <w:r>
        <w:tab/>
      </w:r>
      <w:r>
        <w:t>D. 提供旅游景观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我国台湾省南部兰屿的清水湾，以适合观看海上日出而闻名。在一年中某时段，日出方向经历由①到②到③的移动过程（下图）。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8"/>
          <w:szCs w:val="21"/>
          <w:lang w:val="en-US" w:eastAsia="en-US" w:bidi="ar-SA"/>
        </w:rPr>
        <w:t>读图文材料，完成下面小题。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67025" cy="20669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2219325" cy="165735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 </w:t>
      </w:r>
      <w:r>
        <w:rPr>
          <w:rFonts w:ascii="宋体" w:hAnsi="宋体" w:eastAsia="宋体" w:cs="宋体"/>
          <w:color w:val="000000"/>
        </w:rPr>
        <w:t>该时段处于（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春分到夏至之间</w:t>
      </w:r>
      <w:r>
        <w:tab/>
      </w:r>
      <w:r>
        <w:t>B. 夏至到秋分之间</w:t>
      </w:r>
    </w:p>
    <w:p>
      <w:pPr>
        <w:pStyle w:val="13"/>
        <w:bidi w:val="0"/>
      </w:pPr>
      <w:r>
        <w:t>C. 秋分到冬至之间</w:t>
      </w:r>
      <w:r>
        <w:tab/>
      </w:r>
      <w:r>
        <w:t>D. 冬至到春分之间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从冬至日到夏至日，该地正午时物体影长及方向的变化是（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pStyle w:val="13"/>
        <w:bidi w:val="0"/>
      </w:pPr>
      <w:r>
        <w:t>A. 逐渐变长    始终朝南</w:t>
      </w:r>
      <w:r>
        <w:tab/>
      </w:r>
      <w:r>
        <w:t>B. 先变长再变短    先朝南再朝北</w:t>
      </w:r>
    </w:p>
    <w:p>
      <w:pPr>
        <w:pStyle w:val="13"/>
        <w:bidi w:val="0"/>
      </w:pPr>
      <w:r>
        <w:t>C. 逐渐变短    始终朝北</w:t>
      </w:r>
      <w:r>
        <w:tab/>
      </w:r>
      <w:r>
        <w:t>D. 先变短再变长    先朝北再朝南</w:t>
      </w:r>
    </w:p>
    <w:p>
      <w:pPr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br w:type="page"/>
      </w:r>
    </w:p>
    <w:p>
      <w:pPr>
        <w:pStyle w:val="17"/>
        <w:bidi w:val="0"/>
        <w:rPr>
          <w:rFonts w:ascii="宋体" w:hAnsi="宋体" w:eastAsia="宋体" w:cs="宋体"/>
          <w:b/>
          <w:color w:val="000000"/>
          <w:sz w:val="24"/>
        </w:rPr>
      </w:pPr>
      <w:r>
        <w:t>二、非选择题：本题共4小题，共55分。</w:t>
      </w:r>
    </w:p>
    <w:p>
      <w:pPr>
        <w:spacing w:line="360" w:lineRule="auto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读图文材料，回答下列问题。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lang w:val="en-US" w:eastAsia="zh-CN"/>
        </w:rPr>
        <w:t>18分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97275" cy="2482850"/>
            <wp:effectExtent l="0" t="0" r="3175" b="1270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t>1954年，中国一重集团有限公司的前身——第一重型机器厂在富拉尔基建厂。</w:t>
      </w:r>
    </w:p>
    <w:p>
      <w:pPr>
        <w:bidi w:val="0"/>
      </w:pPr>
      <w:r>
        <w:t>（1）分析第一重型机器厂在该地建厂</w:t>
      </w:r>
      <w:r>
        <w:rPr>
          <w:rFonts w:hint="eastAsia"/>
          <w:lang w:val="en-US" w:eastAsia="zh-CN"/>
        </w:rPr>
        <w:t>的</w:t>
      </w:r>
      <w:r>
        <w:t>有利条件。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lang w:val="en-US" w:eastAsia="zh-CN"/>
        </w:rPr>
        <w:t>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pStyle w:val="4"/>
        <w:bidi w:val="0"/>
      </w:pPr>
      <w:r>
        <w:rPr>
          <w:rFonts w:hint="eastAsia" w:eastAsia="宋体"/>
          <w:lang w:eastAsia="zh-CN"/>
        </w:rPr>
        <w:t>“</w:t>
      </w:r>
      <w:r>
        <w:t>吃配</w:t>
      </w:r>
      <w:r>
        <w:rPr>
          <w:rFonts w:hint="eastAsia" w:eastAsia="宋体"/>
          <w:lang w:eastAsia="zh-CN"/>
        </w:rPr>
        <w:t>”</w:t>
      </w:r>
      <w:r>
        <w:t>型工业是通过为大企业提供配套服务，发展地方企业，形成产业集群。富拉尔基依托驻区大型企业积极发展</w:t>
      </w:r>
      <w:r>
        <w:rPr>
          <w:rFonts w:hint="eastAsia" w:eastAsia="宋体"/>
          <w:lang w:eastAsia="zh-CN"/>
        </w:rPr>
        <w:t>“</w:t>
      </w:r>
      <w:r>
        <w:t>吃配</w:t>
      </w:r>
      <w:r>
        <w:rPr>
          <w:rFonts w:hint="eastAsia" w:eastAsia="宋体"/>
          <w:lang w:eastAsia="zh-CN"/>
        </w:rPr>
        <w:t>”</w:t>
      </w:r>
      <w:r>
        <w:t>型工业经济，推动区域发展。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说明发展</w:t>
      </w:r>
      <w:r>
        <w:rPr>
          <w:rFonts w:hint="eastAsia" w:ascii="宋体" w:hAnsi="宋体" w:eastAsia="宋体" w:cs="宋体"/>
          <w:color w:val="000000"/>
          <w:lang w:eastAsia="zh-CN"/>
        </w:rPr>
        <w:t>“</w:t>
      </w:r>
      <w:r>
        <w:rPr>
          <w:rFonts w:ascii="宋体" w:hAnsi="宋体" w:eastAsia="宋体" w:cs="宋体"/>
          <w:color w:val="000000"/>
        </w:rPr>
        <w:t>吃配</w:t>
      </w:r>
      <w:r>
        <w:rPr>
          <w:rFonts w:hint="eastAsia" w:ascii="宋体" w:hAnsi="宋体" w:eastAsia="宋体" w:cs="宋体"/>
          <w:color w:val="000000"/>
          <w:lang w:eastAsia="zh-CN"/>
        </w:rPr>
        <w:t>”</w:t>
      </w:r>
      <w:r>
        <w:rPr>
          <w:rFonts w:ascii="宋体" w:hAnsi="宋体" w:eastAsia="宋体" w:cs="宋体"/>
          <w:color w:val="000000"/>
        </w:rPr>
        <w:t>型工业经济对该区产业发展的积极影响。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lang w:val="en-US" w:eastAsia="zh-CN"/>
        </w:rPr>
        <w:t>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pStyle w:val="4"/>
        <w:bidi w:val="0"/>
      </w:pPr>
      <w:r>
        <w:t>城市更新是治理城市、转变城市发展方式的有效手段。</w:t>
      </w:r>
    </w:p>
    <w:p>
      <w:pPr>
        <w:bidi w:val="0"/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从可持续发展角度，为富拉尔基的城市更新提出建议。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lang w:val="en-US" w:eastAsia="zh-CN"/>
        </w:rPr>
        <w:t>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bidi w:val="0"/>
        <w:rPr>
          <w:rFonts w:ascii="宋体" w:hAnsi="宋体" w:eastAsia="宋体" w:cs="宋体"/>
          <w:color w:val="000000"/>
        </w:rPr>
      </w:pPr>
    </w:p>
    <w:p>
      <w:pPr>
        <w:bidi w:val="0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读图文材料，回答下列问题。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lang w:val="en-US" w:eastAsia="zh-CN"/>
        </w:rPr>
        <w:t>1</w:t>
      </w:r>
      <w:r>
        <w:rPr>
          <w:rFonts w:hint="eastAsia" w:ascii="宋体" w:hAnsi="宋体" w:cs="宋体"/>
          <w:color w:val="000000"/>
          <w:lang w:val="en-US" w:eastAsia="zh-CN"/>
        </w:rPr>
        <w:t>9</w:t>
      </w:r>
      <w:r>
        <w:rPr>
          <w:rFonts w:hint="eastAsia" w:ascii="宋体" w:hAnsi="宋体" w:eastAsia="宋体" w:cs="宋体"/>
          <w:color w:val="000000"/>
          <w:lang w:val="en-US" w:eastAsia="zh-CN"/>
        </w:rPr>
        <w:t>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pStyle w:val="4"/>
        <w:bidi w:val="0"/>
      </w:pPr>
      <w:r>
        <w:t>赤水河发源于云贵高原，在四川省合江县汇入长江，流域内上游地区以喀斯特地貌为主；下游地区丹霞地貌发育，分布有国家森林公园。该是著名的</w:t>
      </w:r>
      <w:r>
        <w:rPr>
          <w:rFonts w:hint="eastAsia" w:eastAsia="宋体"/>
          <w:lang w:eastAsia="zh-CN"/>
        </w:rPr>
        <w:t>“</w:t>
      </w:r>
      <w:r>
        <w:t>美酒河</w:t>
      </w:r>
      <w:r>
        <w:rPr>
          <w:rFonts w:hint="eastAsia" w:eastAsia="宋体"/>
          <w:lang w:eastAsia="zh-CN"/>
        </w:rPr>
        <w:t>”</w:t>
      </w:r>
      <w:r>
        <w:t>，但流域内经济发展不均衡，还出现了河水污染、水土流失、生态退化等问题。近些年，云贵川三省采取流域生态补偿机制，让受益者支付，保护者受偿，通过共同治理，流域生态环境持续向好。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26560" cy="2485390"/>
            <wp:effectExtent l="0" t="0" r="2540" b="1016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ascii="宋体" w:hAnsi="宋体" w:eastAsia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分析赤水河下游丹霞地貌区生物多样性丰富</w:t>
      </w:r>
      <w:r>
        <w:rPr>
          <w:rFonts w:hint="eastAsia" w:ascii="宋体" w:hAnsi="宋体" w:eastAsia="宋体" w:cs="宋体"/>
          <w:color w:val="000000"/>
          <w:position w:val="0"/>
          <w:lang w:val="en-US" w:eastAsia="zh-CN"/>
        </w:rPr>
        <w:t>的</w:t>
      </w:r>
      <w:r>
        <w:rPr>
          <w:rFonts w:ascii="宋体" w:hAnsi="宋体" w:eastAsia="宋体" w:cs="宋体"/>
          <w:color w:val="000000"/>
        </w:rPr>
        <w:t>自然原因。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lang w:val="en-US" w:eastAsia="zh-CN"/>
        </w:rPr>
        <w:t>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bidi w:val="0"/>
        <w:rPr>
          <w:rFonts w:ascii="宋体" w:hAnsi="宋体" w:eastAsia="宋体" w:cs="宋体"/>
          <w:color w:val="000000"/>
        </w:rPr>
      </w:pPr>
    </w:p>
    <w:p>
      <w:pPr>
        <w:bidi w:val="0"/>
        <w:rPr>
          <w:rFonts w:ascii="宋体" w:hAnsi="宋体" w:eastAsia="宋体" w:cs="宋体"/>
          <w:color w:val="000000"/>
        </w:rPr>
      </w:pPr>
    </w:p>
    <w:p>
      <w:pPr>
        <w:bidi w:val="0"/>
        <w:rPr>
          <w:rFonts w:ascii="宋体" w:hAnsi="宋体" w:eastAsia="宋体" w:cs="宋体"/>
          <w:color w:val="000000"/>
        </w:rPr>
      </w:pPr>
    </w:p>
    <w:p>
      <w:pPr>
        <w:bidi w:val="0"/>
        <w:rPr>
          <w:rFonts w:ascii="宋体" w:hAnsi="宋体" w:eastAsia="宋体" w:cs="宋体"/>
          <w:color w:val="000000"/>
        </w:rPr>
      </w:pPr>
    </w:p>
    <w:p>
      <w:pPr>
        <w:bidi w:val="0"/>
        <w:rPr>
          <w:rFonts w:ascii="宋体" w:hAnsi="宋体" w:eastAsia="宋体" w:cs="宋体"/>
          <w:color w:val="000000"/>
        </w:rPr>
      </w:pPr>
    </w:p>
    <w:p>
      <w:pPr>
        <w:pStyle w:val="4"/>
        <w:bidi w:val="0"/>
      </w:pPr>
      <w:r>
        <w:t>通过甲、乙两水文站的观测发现，甲站的上游地区地表侵蚀度更大。</w:t>
      </w:r>
    </w:p>
    <w:p>
      <w:pPr>
        <w:bidi w:val="0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从甲站角度推测原因。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lang w:val="en-US" w:eastAsia="zh-CN"/>
        </w:rPr>
        <w:t>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82975" cy="2296795"/>
            <wp:effectExtent l="0" t="0" r="3175" b="825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结合图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，判断图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中哪个市（县）是受益者，并分析其要对流域保护者进行生态补偿的原因。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7</w:t>
      </w:r>
      <w:r>
        <w:rPr>
          <w:rFonts w:hint="eastAsia" w:ascii="宋体" w:hAnsi="宋体" w:eastAsia="宋体" w:cs="宋体"/>
          <w:color w:val="000000"/>
          <w:lang w:val="en-US" w:eastAsia="zh-CN"/>
        </w:rPr>
        <w:t>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bidi w:val="0"/>
        <w:rPr>
          <w:rFonts w:ascii="宋体" w:hAnsi="宋体" w:eastAsia="宋体" w:cs="宋体"/>
          <w:color w:val="000000"/>
        </w:rPr>
      </w:pPr>
    </w:p>
    <w:p>
      <w:pPr>
        <w:bidi w:val="0"/>
        <w:rPr>
          <w:rFonts w:ascii="宋体" w:hAnsi="宋体" w:eastAsia="宋体" w:cs="宋体"/>
          <w:color w:val="000000"/>
        </w:rPr>
      </w:pPr>
    </w:p>
    <w:p>
      <w:pPr>
        <w:bidi w:val="0"/>
        <w:rPr>
          <w:rFonts w:ascii="宋体" w:hAnsi="宋体" w:eastAsia="宋体" w:cs="宋体"/>
          <w:color w:val="000000"/>
        </w:rPr>
      </w:pPr>
    </w:p>
    <w:p>
      <w:pPr>
        <w:bidi w:val="0"/>
        <w:rPr>
          <w:rFonts w:ascii="宋体" w:hAnsi="宋体" w:eastAsia="宋体" w:cs="宋体"/>
          <w:color w:val="000000"/>
        </w:rPr>
      </w:pPr>
    </w:p>
    <w:p>
      <w:pPr>
        <w:bidi w:val="0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读图文材料，回答下列问题。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lang w:val="en-US" w:eastAsia="zh-CN"/>
        </w:rPr>
        <w:t>18分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80660" cy="2742565"/>
            <wp:effectExtent l="0" t="0" r="15240" b="63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color w:val="000000"/>
        </w:rPr>
      </w:pPr>
      <w:r>
        <w:rPr>
          <w:rFonts w:ascii="楷体" w:hAnsi="楷体" w:eastAsia="楷体" w:cs="楷体"/>
          <w:color w:val="000000"/>
        </w:rPr>
        <w:t>中黑合作建设的莫祖拉风电场位于南部山区，该站建设过程中克服了来自亚得里亚海的</w:t>
      </w:r>
      <w:r>
        <w:rPr>
          <w:rFonts w:hint="eastAsia" w:ascii="宋体" w:hAnsi="宋体" w:eastAsia="宋体" w:cs="宋体"/>
          <w:color w:val="000000"/>
          <w:lang w:eastAsia="zh-CN"/>
        </w:rPr>
        <w:t>“</w:t>
      </w:r>
      <w:r>
        <w:rPr>
          <w:rFonts w:ascii="楷体" w:hAnsi="楷体" w:eastAsia="楷体" w:cs="楷体"/>
          <w:color w:val="000000"/>
        </w:rPr>
        <w:t>盐雾</w:t>
      </w:r>
      <w:r>
        <w:rPr>
          <w:rFonts w:hint="eastAsia" w:ascii="宋体" w:hAnsi="宋体" w:eastAsia="宋体" w:cs="宋体"/>
          <w:color w:val="000000"/>
          <w:lang w:eastAsia="zh-CN"/>
        </w:rPr>
        <w:t>”</w:t>
      </w:r>
      <w:r>
        <w:rPr>
          <w:rFonts w:ascii="楷体" w:hAnsi="楷体" w:eastAsia="楷体" w:cs="楷体"/>
          <w:color w:val="000000"/>
        </w:rPr>
        <w:t>影响。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分析黑山沿岸海域海水盐度高的原因。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lang w:val="en-US" w:eastAsia="zh-CN"/>
        </w:rPr>
        <w:t>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pStyle w:val="4"/>
        <w:bidi w:val="0"/>
        <w:rPr>
          <w:color w:val="000000"/>
        </w:rPr>
      </w:pPr>
      <w:r>
        <w:rPr>
          <w:rFonts w:ascii="楷体" w:hAnsi="楷体" w:eastAsia="楷体" w:cs="楷体"/>
          <w:color w:val="000000"/>
        </w:rPr>
        <w:t>中黑合作的南北铁路项目是我国</w:t>
      </w:r>
      <w:r>
        <w:rPr>
          <w:rFonts w:hint="eastAsia" w:ascii="宋体" w:hAnsi="宋体" w:eastAsia="宋体" w:cs="宋体"/>
          <w:color w:val="000000"/>
          <w:lang w:eastAsia="zh-CN"/>
        </w:rPr>
        <w:t>“</w:t>
      </w:r>
      <w:r>
        <w:rPr>
          <w:rFonts w:ascii="楷体" w:hAnsi="楷体" w:eastAsia="楷体" w:cs="楷体"/>
          <w:color w:val="000000"/>
        </w:rPr>
        <w:t>一带一路</w:t>
      </w:r>
      <w:r>
        <w:rPr>
          <w:rFonts w:hint="eastAsia" w:ascii="宋体" w:hAnsi="宋体" w:eastAsia="宋体" w:cs="宋体"/>
          <w:color w:val="000000"/>
          <w:lang w:eastAsia="zh-CN"/>
        </w:rPr>
        <w:t>”</w:t>
      </w:r>
      <w:r>
        <w:rPr>
          <w:rFonts w:ascii="楷体" w:hAnsi="楷体" w:eastAsia="楷体" w:cs="楷体"/>
          <w:color w:val="000000"/>
        </w:rPr>
        <w:t>倡议下的标志性工程。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分别说明该铁路建成后对黑山、塞尔维亚和我国</w:t>
      </w:r>
      <w:r>
        <w:rPr>
          <w:rFonts w:hint="eastAsia" w:ascii="宋体" w:hAnsi="宋体" w:eastAsia="宋体" w:cs="宋体"/>
          <w:color w:val="000000"/>
          <w:position w:val="0"/>
          <w:lang w:val="en-US" w:eastAsia="zh-CN"/>
        </w:rPr>
        <w:t>的</w:t>
      </w:r>
      <w:r>
        <w:rPr>
          <w:rFonts w:ascii="宋体" w:hAnsi="宋体" w:eastAsia="宋体" w:cs="宋体"/>
          <w:color w:val="000000"/>
        </w:rPr>
        <w:t>意义。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lang w:val="en-US" w:eastAsia="zh-CN"/>
        </w:rPr>
        <w:t>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pStyle w:val="4"/>
        <w:bidi w:val="0"/>
        <w:rPr>
          <w:color w:val="000000"/>
        </w:rPr>
      </w:pPr>
      <w:r>
        <w:rPr>
          <w:rFonts w:ascii="楷体" w:hAnsi="楷体" w:eastAsia="楷体" w:cs="楷体"/>
          <w:color w:val="000000"/>
        </w:rPr>
        <w:t>黑山国内电力供应不足，需要进口电力，自身电力生产还需要达到欧盟的环保标准，这使得脆弱的黑山经济</w:t>
      </w:r>
      <w:r>
        <w:rPr>
          <w:rFonts w:hint="eastAsia" w:ascii="宋体" w:hAnsi="宋体" w:eastAsia="宋体" w:cs="宋体"/>
          <w:color w:val="000000"/>
          <w:lang w:eastAsia="zh-CN"/>
        </w:rPr>
        <w:t>“</w:t>
      </w:r>
      <w:r>
        <w:rPr>
          <w:rFonts w:ascii="楷体" w:hAnsi="楷体" w:eastAsia="楷体" w:cs="楷体"/>
          <w:color w:val="000000"/>
        </w:rPr>
        <w:t>雪上加霜</w:t>
      </w:r>
      <w:r>
        <w:rPr>
          <w:rFonts w:hint="eastAsia" w:ascii="宋体" w:hAnsi="宋体" w:eastAsia="宋体" w:cs="宋体"/>
          <w:color w:val="000000"/>
          <w:lang w:eastAsia="zh-CN"/>
        </w:rPr>
        <w:t>”</w:t>
      </w:r>
      <w:r>
        <w:rPr>
          <w:rFonts w:ascii="楷体" w:hAnsi="楷体" w:eastAsia="楷体" w:cs="楷体"/>
          <w:color w:val="000000"/>
        </w:rPr>
        <w:t>。黑山似乎陷入了</w:t>
      </w:r>
      <w:r>
        <w:rPr>
          <w:rFonts w:hint="eastAsia" w:ascii="宋体" w:hAnsi="宋体" w:eastAsia="宋体" w:cs="宋体"/>
          <w:color w:val="000000"/>
          <w:lang w:eastAsia="zh-CN"/>
        </w:rPr>
        <w:t>“</w:t>
      </w:r>
      <w:r>
        <w:rPr>
          <w:rFonts w:ascii="楷体" w:hAnsi="楷体" w:eastAsia="楷体" w:cs="楷体"/>
          <w:color w:val="000000"/>
        </w:rPr>
        <w:t>能源不可能三角形</w:t>
      </w:r>
      <w:r>
        <w:rPr>
          <w:rFonts w:hint="eastAsia" w:ascii="宋体" w:hAnsi="宋体" w:eastAsia="宋体" w:cs="宋体"/>
          <w:color w:val="000000"/>
          <w:lang w:eastAsia="zh-CN"/>
        </w:rPr>
        <w:t>”</w:t>
      </w:r>
      <w:r>
        <w:rPr>
          <w:rFonts w:ascii="楷体" w:hAnsi="楷体" w:eastAsia="楷体" w:cs="楷体"/>
          <w:color w:val="000000"/>
        </w:rPr>
        <w:t>（下图）的困局。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59685" cy="2590165"/>
            <wp:effectExtent l="0" t="0" r="12065" b="63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黑山要破解能源困局，应采取哪些措施？</w:t>
      </w:r>
      <w:r>
        <w:rPr>
          <w:rFonts w:hint="eastAsia" w:ascii="宋体" w:hAnsi="宋体" w:eastAsia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6</w:t>
      </w:r>
      <w:r>
        <w:rPr>
          <w:rFonts w:hint="eastAsia" w:ascii="宋体" w:hAnsi="宋体" w:eastAsia="宋体" w:cs="宋体"/>
          <w:color w:val="000000"/>
          <w:lang w:val="en-US" w:eastAsia="zh-CN"/>
        </w:rPr>
        <w:t>分</w:t>
      </w:r>
      <w:r>
        <w:rPr>
          <w:rFonts w:hint="eastAsia" w:ascii="宋体" w:hAnsi="宋体" w:eastAsia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EU-BZ-S92">
    <w:altName w:val="宋体"/>
    <w:panose1 w:val="03000502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hd w:val="clear"/>
      <w:jc w:val="center"/>
      <w:rPr>
        <w:rFonts w:hint="default" w:eastAsia="宋体"/>
        <w:color w:val="auto"/>
        <w:sz w:val="20"/>
        <w:szCs w:val="20"/>
        <w:highlight w:val="none"/>
        <w:shd w:val="clear"/>
        <w:lang w:val="en-US" w:eastAsia="zh-CN"/>
      </w:rPr>
    </w:pPr>
    <w:r>
      <w:rPr>
        <w:color w:val="auto"/>
        <w:sz w:val="20"/>
        <w:szCs w:val="20"/>
        <w:highlight w:val="none"/>
        <w:shd w:val="clear"/>
      </w:rPr>
      <w:pict>
        <v:shape id="_x0000_s4098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auto"/>
        <w:sz w:val="20"/>
        <w:szCs w:val="20"/>
        <w:highlight w:val="none"/>
        <w:shd w:val="clea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" name="图片 5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53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rFonts w:hint="eastAsia" w:eastAsia="宋体"/>
        <w:sz w:val="2"/>
        <w:szCs w:val="2"/>
        <w:lang w:val="en-US" w:eastAsia="zh-CN"/>
      </w:rPr>
    </w:pPr>
    <w:r>
      <w:rPr>
        <w:sz w:val="18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5" name="图片 51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1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 w:val="1"/>
  <w:embedSystemFonts/>
  <w:bordersDoNotSurroundHeader w:val="1"/>
  <w:bordersDoNotSurroundFooter w:val="1"/>
  <w:attachedTemplate r:id="rId1"/>
  <w:documentProtection w:enforcement="0"/>
  <w:defaultTabStop w:val="559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wM2Q1OGRmNDEwODQwZDFkZjY2MTgzYTVjMWRlYmIifQ=="/>
  </w:docVars>
  <w:rsids>
    <w:rsidRoot w:val="0AEF5BF3"/>
    <w:rsid w:val="00271769"/>
    <w:rsid w:val="02125874"/>
    <w:rsid w:val="02511125"/>
    <w:rsid w:val="02EF11E0"/>
    <w:rsid w:val="0308532E"/>
    <w:rsid w:val="03314D1D"/>
    <w:rsid w:val="0351647B"/>
    <w:rsid w:val="03823875"/>
    <w:rsid w:val="043517C8"/>
    <w:rsid w:val="05E07B33"/>
    <w:rsid w:val="06606BAA"/>
    <w:rsid w:val="085665DD"/>
    <w:rsid w:val="08F55C55"/>
    <w:rsid w:val="09795ED8"/>
    <w:rsid w:val="0A5719F4"/>
    <w:rsid w:val="0AEF5BF3"/>
    <w:rsid w:val="0BF710B6"/>
    <w:rsid w:val="0CA27F6D"/>
    <w:rsid w:val="0DF235C6"/>
    <w:rsid w:val="117A1FB8"/>
    <w:rsid w:val="13560820"/>
    <w:rsid w:val="14245808"/>
    <w:rsid w:val="1425661F"/>
    <w:rsid w:val="151051AD"/>
    <w:rsid w:val="151505A6"/>
    <w:rsid w:val="15651EC7"/>
    <w:rsid w:val="15DC4AEB"/>
    <w:rsid w:val="16F77687"/>
    <w:rsid w:val="17AD6705"/>
    <w:rsid w:val="18627B26"/>
    <w:rsid w:val="19792817"/>
    <w:rsid w:val="19A726F3"/>
    <w:rsid w:val="1AD414AE"/>
    <w:rsid w:val="1B134E31"/>
    <w:rsid w:val="1B2B697D"/>
    <w:rsid w:val="1BEF4845"/>
    <w:rsid w:val="1C4A593A"/>
    <w:rsid w:val="1C5C7834"/>
    <w:rsid w:val="1C7424BB"/>
    <w:rsid w:val="1CF850DA"/>
    <w:rsid w:val="1E311151"/>
    <w:rsid w:val="1F822FAC"/>
    <w:rsid w:val="1F915A1E"/>
    <w:rsid w:val="1FC35144"/>
    <w:rsid w:val="21DF0DA7"/>
    <w:rsid w:val="21FB1FC8"/>
    <w:rsid w:val="22861EE6"/>
    <w:rsid w:val="23FE3C48"/>
    <w:rsid w:val="244C6AA5"/>
    <w:rsid w:val="24817E00"/>
    <w:rsid w:val="24DF3003"/>
    <w:rsid w:val="258A03E5"/>
    <w:rsid w:val="284D302B"/>
    <w:rsid w:val="286046C0"/>
    <w:rsid w:val="290D009F"/>
    <w:rsid w:val="29225C20"/>
    <w:rsid w:val="2A952A67"/>
    <w:rsid w:val="2B405F6E"/>
    <w:rsid w:val="2CFE1C64"/>
    <w:rsid w:val="2D6362A8"/>
    <w:rsid w:val="2DBC0049"/>
    <w:rsid w:val="2E8C25FF"/>
    <w:rsid w:val="2E991DFC"/>
    <w:rsid w:val="2FD92D9A"/>
    <w:rsid w:val="307D027D"/>
    <w:rsid w:val="326F5A60"/>
    <w:rsid w:val="331C222E"/>
    <w:rsid w:val="33EC3729"/>
    <w:rsid w:val="34446172"/>
    <w:rsid w:val="35A94E4B"/>
    <w:rsid w:val="35B4432A"/>
    <w:rsid w:val="37664296"/>
    <w:rsid w:val="38415FDC"/>
    <w:rsid w:val="396B39B6"/>
    <w:rsid w:val="3A260894"/>
    <w:rsid w:val="3A475A45"/>
    <w:rsid w:val="3BF24643"/>
    <w:rsid w:val="3C9C799F"/>
    <w:rsid w:val="3EB137F4"/>
    <w:rsid w:val="3ED021CA"/>
    <w:rsid w:val="407F713A"/>
    <w:rsid w:val="40FA1332"/>
    <w:rsid w:val="43E56550"/>
    <w:rsid w:val="4434679C"/>
    <w:rsid w:val="445C3320"/>
    <w:rsid w:val="45421516"/>
    <w:rsid w:val="46D54976"/>
    <w:rsid w:val="474B65C4"/>
    <w:rsid w:val="476139C9"/>
    <w:rsid w:val="47A540B8"/>
    <w:rsid w:val="47C94F01"/>
    <w:rsid w:val="48232B17"/>
    <w:rsid w:val="48261766"/>
    <w:rsid w:val="48B91CF5"/>
    <w:rsid w:val="49335181"/>
    <w:rsid w:val="495C6E3B"/>
    <w:rsid w:val="499F46D9"/>
    <w:rsid w:val="4A0B5F87"/>
    <w:rsid w:val="4A4534F8"/>
    <w:rsid w:val="4B240D58"/>
    <w:rsid w:val="4B316775"/>
    <w:rsid w:val="4C1F27D1"/>
    <w:rsid w:val="4C712B5E"/>
    <w:rsid w:val="4C7D7706"/>
    <w:rsid w:val="4CE25BB7"/>
    <w:rsid w:val="4D0D48C2"/>
    <w:rsid w:val="4D4114BC"/>
    <w:rsid w:val="507C2A18"/>
    <w:rsid w:val="509760BC"/>
    <w:rsid w:val="528F513F"/>
    <w:rsid w:val="52907E88"/>
    <w:rsid w:val="530D4FE1"/>
    <w:rsid w:val="535237B6"/>
    <w:rsid w:val="54715AFF"/>
    <w:rsid w:val="54982C54"/>
    <w:rsid w:val="553C21CE"/>
    <w:rsid w:val="55A9315C"/>
    <w:rsid w:val="5615572F"/>
    <w:rsid w:val="5772462D"/>
    <w:rsid w:val="584032C1"/>
    <w:rsid w:val="5A6428FD"/>
    <w:rsid w:val="5B3F3078"/>
    <w:rsid w:val="5B9104C7"/>
    <w:rsid w:val="5C2F6C8E"/>
    <w:rsid w:val="5CE47FB1"/>
    <w:rsid w:val="5F1B3002"/>
    <w:rsid w:val="5FAC7002"/>
    <w:rsid w:val="60BE4D86"/>
    <w:rsid w:val="60C1494C"/>
    <w:rsid w:val="61027005"/>
    <w:rsid w:val="61B1667A"/>
    <w:rsid w:val="623161EC"/>
    <w:rsid w:val="62AA49F4"/>
    <w:rsid w:val="62D97141"/>
    <w:rsid w:val="62E50DCE"/>
    <w:rsid w:val="65D2447B"/>
    <w:rsid w:val="65DA7B27"/>
    <w:rsid w:val="66D37748"/>
    <w:rsid w:val="67EE3F38"/>
    <w:rsid w:val="68BF65E6"/>
    <w:rsid w:val="68F7287C"/>
    <w:rsid w:val="69761282"/>
    <w:rsid w:val="6A727EA8"/>
    <w:rsid w:val="6AC53A8A"/>
    <w:rsid w:val="6C4F025D"/>
    <w:rsid w:val="6EF130D7"/>
    <w:rsid w:val="6F802D90"/>
    <w:rsid w:val="6F896C52"/>
    <w:rsid w:val="6FBF058B"/>
    <w:rsid w:val="70493C15"/>
    <w:rsid w:val="70D57E48"/>
    <w:rsid w:val="711E7495"/>
    <w:rsid w:val="713C496D"/>
    <w:rsid w:val="71533BDA"/>
    <w:rsid w:val="718C5BAF"/>
    <w:rsid w:val="73C81496"/>
    <w:rsid w:val="74BD7729"/>
    <w:rsid w:val="767859D3"/>
    <w:rsid w:val="76BF3A84"/>
    <w:rsid w:val="776D1464"/>
    <w:rsid w:val="777C7BE6"/>
    <w:rsid w:val="786A5025"/>
    <w:rsid w:val="79F44131"/>
    <w:rsid w:val="7A4B208E"/>
    <w:rsid w:val="7B5B4ACF"/>
    <w:rsid w:val="7B6D01CD"/>
    <w:rsid w:val="7BB70DC8"/>
    <w:rsid w:val="7C402716"/>
    <w:rsid w:val="7D157D55"/>
    <w:rsid w:val="7D91669E"/>
    <w:rsid w:val="7DF62E4B"/>
    <w:rsid w:val="7F8D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8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360" w:lineRule="auto"/>
      <w:jc w:val="center"/>
      <w:outlineLvl w:val="0"/>
    </w:pPr>
    <w:rPr>
      <w:rFonts w:ascii="Arial" w:hAnsi="Arial" w:eastAsia="黑体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jc w:val="center"/>
      <w:outlineLvl w:val="1"/>
    </w:pPr>
    <w:rPr>
      <w:rFonts w:ascii="Times New Roman" w:hAnsi="Times New Roman" w:eastAsia="宋体"/>
      <w:b/>
      <w:sz w:val="24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qFormat/>
    <w:uiPriority w:val="0"/>
    <w:pPr>
      <w:kinsoku/>
      <w:overflowPunct w:val="0"/>
      <w:spacing w:line="360" w:lineRule="auto"/>
      <w:ind w:firstLine="562" w:firstLineChars="200"/>
    </w:pPr>
    <w:rPr>
      <w:rFonts w:eastAsia="楷体"/>
    </w:rPr>
  </w:style>
  <w:style w:type="paragraph" w:styleId="5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24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Arial" w:hAnsi="Arial" w:eastAsia="宋体"/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3">
    <w:name w:val="选项"/>
    <w:basedOn w:val="1"/>
    <w:qFormat/>
    <w:uiPriority w:val="0"/>
    <w:pPr>
      <w:widowControl w:val="0"/>
      <w:shd w:val="clear" w:color="auto" w:fill="auto"/>
      <w:tabs>
        <w:tab w:val="left" w:pos="263"/>
        <w:tab w:val="left" w:pos="2573"/>
        <w:tab w:val="left" w:pos="5093"/>
        <w:tab w:val="left" w:pos="7613"/>
      </w:tabs>
      <w:kinsoku/>
      <w:autoSpaceDE/>
      <w:autoSpaceDN/>
      <w:adjustRightInd w:val="0"/>
      <w:snapToGrid w:val="0"/>
      <w:spacing w:after="0" w:line="360" w:lineRule="auto"/>
      <w:ind w:left="612" w:hanging="306"/>
      <w:textAlignment w:val="center"/>
    </w:pPr>
    <w:rPr>
      <w:rFonts w:cs="Times New Roman"/>
      <w:snapToGrid/>
      <w:kern w:val="2"/>
      <w:szCs w:val="20"/>
      <w:lang w:eastAsia="zh-CN"/>
    </w:rPr>
  </w:style>
  <w:style w:type="character" w:customStyle="1" w:styleId="14">
    <w:name w:val="正文文本 Char"/>
    <w:link w:val="4"/>
    <w:qFormat/>
    <w:uiPriority w:val="0"/>
    <w:rPr>
      <w:rFonts w:eastAsia="楷体"/>
      <w:sz w:val="24"/>
    </w:rPr>
  </w:style>
  <w:style w:type="paragraph" w:customStyle="1" w:styleId="15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styleId="16">
    <w:name w:val="No Spacing"/>
    <w:qFormat/>
    <w:uiPriority w:val="0"/>
    <w:rPr>
      <w:rFonts w:ascii="NEU-BZ-S92" w:hAnsi="NEU-BZ-S92" w:eastAsia="方正书宋_GBK" w:cs="Times New Roman"/>
      <w:color w:val="000000"/>
      <w:sz w:val="18"/>
      <w:szCs w:val="22"/>
      <w:lang w:val="en-US" w:eastAsia="zh-CN" w:bidi="ar-SA"/>
    </w:rPr>
  </w:style>
  <w:style w:type="paragraph" w:customStyle="1" w:styleId="17">
    <w:name w:val="题型标题"/>
    <w:basedOn w:val="1"/>
    <w:qFormat/>
    <w:uiPriority w:val="0"/>
    <w:pPr>
      <w:wordWrap w:val="0"/>
      <w:spacing w:line="240" w:lineRule="auto"/>
    </w:pPr>
    <w:rPr>
      <w:rFonts w:hint="eastAsia" w:ascii="黑体" w:hAnsi="黑体" w:eastAsia="黑体" w:cs="黑体"/>
      <w:sz w:val="28"/>
      <w:szCs w:val="20"/>
    </w:rPr>
  </w:style>
  <w:style w:type="paragraph" w:customStyle="1" w:styleId="18">
    <w:name w:val="考试名称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eastAsia="宋体"/>
      <w:sz w:val="36"/>
      <w:szCs w:val="28"/>
      <w:lang w:eastAsia="zh-CN"/>
    </w:rPr>
  </w:style>
  <w:style w:type="paragraph" w:customStyle="1" w:styleId="19">
    <w:name w:val="科目名称"/>
    <w:basedOn w:val="1"/>
    <w:qFormat/>
    <w:uiPriority w:val="0"/>
    <w:pPr>
      <w:spacing w:before="50" w:beforeLines="50" w:after="50" w:afterLines="50" w:line="240" w:lineRule="auto"/>
      <w:jc w:val="center"/>
    </w:pPr>
    <w:rPr>
      <w:rFonts w:hint="eastAsia" w:ascii="黑体" w:hAnsi="黑体" w:eastAsia="黑体" w:cs="黑体"/>
      <w:sz w:val="48"/>
      <w:szCs w:val="40"/>
      <w:lang w:eastAsia="zh-CN"/>
    </w:rPr>
  </w:style>
  <w:style w:type="paragraph" w:customStyle="1" w:styleId="20">
    <w:name w:val="注意事项内容"/>
    <w:basedOn w:val="1"/>
    <w:qFormat/>
    <w:uiPriority w:val="0"/>
    <w:pPr>
      <w:spacing w:beforeLines="0" w:afterLines="0" w:line="240" w:lineRule="auto"/>
      <w:ind w:firstLine="560" w:firstLineChars="200"/>
    </w:pPr>
    <w:rPr>
      <w:rFonts w:hint="eastAsia" w:ascii="楷体" w:hAnsi="楷体" w:eastAsia="楷体" w:cs="楷体"/>
      <w:sz w:val="28"/>
      <w:szCs w:val="22"/>
      <w:lang w:eastAsia="zh-CN"/>
    </w:rPr>
  </w:style>
  <w:style w:type="paragraph" w:customStyle="1" w:styleId="21">
    <w:name w:val="第几卷"/>
    <w:basedOn w:val="1"/>
    <w:qFormat/>
    <w:uiPriority w:val="0"/>
    <w:pPr>
      <w:spacing w:before="50" w:beforeLines="50" w:after="50" w:afterLines="50" w:line="240" w:lineRule="auto"/>
      <w:jc w:val="center"/>
    </w:pPr>
    <w:rPr>
      <w:rFonts w:hint="eastAsia" w:ascii="方正小标宋简体" w:hAnsi="方正小标宋简体" w:eastAsia="方正小标宋简体" w:cs="方正小标宋简体"/>
      <w:sz w:val="32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7B75232B38-A165-1FB7-499C-2E1C792CACB5%25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7B75232B38-A165-1FB7-499C-2E1C792CACB5%252525252525252525252525252525252525252525252525252525252525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edy_02\Desktop\BaiduSyncdisk\&#22320;&#29702;\&#35797;&#21367;\&#35797;&#21367;&#27169;&#26495;&#65288;A4&#32440;&#65289;_&#22235;&#21495;&#23383;&#20307;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试卷模板（A4纸）_四号字体.dotx</Template>
  <Pages>1</Pages>
  <Words>246</Words>
  <Characters>258</Characters>
  <Lines>0</Lines>
  <Paragraphs>0</Paragraphs>
  <TotalTime>0</TotalTime>
  <ScaleCrop>false</ScaleCrop>
  <LinksUpToDate>false</LinksUpToDate>
  <CharactersWithSpaces>262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2026-04-29T13:01:00Z</dcterms:created>
  <dc:creator>Deledy_02</dc:creator>
  <cp:lastModifiedBy>Deledy_02</cp:lastModifiedBy>
  <dcterms:modified xsi:type="dcterms:W3CDTF">2026-05-11T12:16:26Z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  <property fmtid="{D5CDD505-2E9C-101B-9397-08002B2CF9AE}" pid="3" name="ICV">
    <vt:lpwstr>DA4B24ADD6044C228B8536EDE2BEE97A</vt:lpwstr>
  </property>
</Properties>
</file>