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8"/>
        <w:bidi w:val="0"/>
        <w:rPr>
          <w:rFonts w:hint="default"/>
          <w:lang w:val="en-US" w:eastAsia="zh-CN"/>
        </w:rPr>
      </w:pPr>
      <w:bookmarkStart w:id="0" w:name="_bookmark1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12204700</wp:posOffset>
            </wp:positionH>
            <wp:positionV relativeFrom="topMargin">
              <wp:posOffset>11480800</wp:posOffset>
            </wp:positionV>
            <wp:extent cx="266700" cy="266700"/>
            <wp:effectExtent l="0" t="0" r="0" b="0"/>
            <wp:wrapNone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10325100</wp:posOffset>
            </wp:positionV>
            <wp:extent cx="266700" cy="330200"/>
            <wp:effectExtent l="0" t="0" r="0" b="12700"/>
            <wp:wrapNone/>
            <wp:docPr id="338063863" name="图片 3380638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63863" name="图片 33806386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2025年福建</w:t>
      </w:r>
      <w:r>
        <w:rPr>
          <w:rFonts w:hint="eastAsia"/>
          <w:lang w:val="en-US" w:eastAsia="zh-CN"/>
        </w:rPr>
        <w:t>省学业水平选择性考试</w:t>
      </w:r>
    </w:p>
    <w:p>
      <w:pPr>
        <w:pStyle w:val="19"/>
        <w:bidi w:val="0"/>
      </w:pPr>
      <w:r>
        <w:t>地</w:t>
      </w:r>
      <w:r>
        <w:rPr>
          <w:rFonts w:hint="eastAsia"/>
          <w:lang w:val="en-US" w:eastAsia="zh-CN"/>
        </w:rPr>
        <w:t xml:space="preserve">  </w:t>
      </w:r>
      <w:r>
        <w:t>理</w:t>
      </w:r>
    </w:p>
    <w:p>
      <w:pPr>
        <w:pStyle w:val="17"/>
        <w:bidi w:val="0"/>
      </w:pPr>
      <w:r>
        <w:t>一、选择题：本题共16小题，每小题3分，共48分。在每小题给出的四个选项中，只有一项是符合题目要求的。</w:t>
      </w:r>
    </w:p>
    <w:p>
      <w:pPr>
        <w:pStyle w:val="4"/>
        <w:bidi w:val="0"/>
      </w:pPr>
      <w:r>
        <w:rPr>
          <w:rFonts w:ascii="楷体" w:hAnsi="楷体" w:eastAsia="楷体" w:cs="楷体"/>
          <w:color w:val="auto"/>
        </w:rPr>
        <w:t>福建省沿海</w:t>
      </w:r>
      <w:r>
        <w:rPr>
          <w:rFonts w:ascii="Times New Roman" w:hAnsi="Times New Roman" w:eastAsia="Times New Roman" w:cs="Times New Roman"/>
          <w:color w:val="auto"/>
        </w:rPr>
        <w:t>S</w:t>
      </w:r>
      <w:r>
        <w:rPr>
          <w:rFonts w:ascii="楷体" w:hAnsi="楷体" w:eastAsia="楷体" w:cs="楷体"/>
          <w:color w:val="auto"/>
        </w:rPr>
        <w:t>市和山区</w:t>
      </w:r>
      <w:r>
        <w:rPr>
          <w:rFonts w:ascii="Times New Roman" w:hAnsi="Times New Roman" w:eastAsia="Times New Roman" w:cs="Times New Roman"/>
          <w:color w:val="auto"/>
        </w:rPr>
        <w:t>T</w:t>
      </w:r>
      <w:r>
        <w:rPr>
          <w:rFonts w:ascii="楷体" w:hAnsi="楷体" w:eastAsia="楷体" w:cs="楷体"/>
          <w:color w:val="auto"/>
        </w:rPr>
        <w:t>县较早开展山海协作。</w:t>
      </w:r>
      <w:r>
        <w:rPr>
          <w:rFonts w:ascii="Times New Roman" w:hAnsi="Times New Roman" w:eastAsia="Times New Roman" w:cs="Times New Roman"/>
          <w:color w:val="auto"/>
        </w:rPr>
        <w:t>T</w:t>
      </w:r>
      <w:r>
        <w:rPr>
          <w:rFonts w:ascii="楷体" w:hAnsi="楷体" w:eastAsia="楷体" w:cs="楷体"/>
          <w:color w:val="auto"/>
        </w:rPr>
        <w:t>县长期治理水土流失，逐步改善生态环境；</w:t>
      </w:r>
      <w:r>
        <w:rPr>
          <w:rFonts w:ascii="Times New Roman" w:hAnsi="Times New Roman" w:eastAsia="Times New Roman" w:cs="Times New Roman"/>
          <w:color w:val="auto"/>
        </w:rPr>
        <w:t>S</w:t>
      </w:r>
      <w:r>
        <w:rPr>
          <w:rFonts w:ascii="楷体" w:hAnsi="楷体" w:eastAsia="楷体" w:cs="楷体"/>
          <w:color w:val="auto"/>
        </w:rPr>
        <w:t>市引导近</w:t>
      </w:r>
      <w:r>
        <w:rPr>
          <w:rFonts w:ascii="Times New Roman" w:hAnsi="Times New Roman" w:eastAsia="Times New Roman" w:cs="Times New Roman"/>
          <w:color w:val="auto"/>
        </w:rPr>
        <w:t>200</w:t>
      </w:r>
      <w:r>
        <w:rPr>
          <w:rFonts w:ascii="楷体" w:hAnsi="楷体" w:eastAsia="楷体" w:cs="楷体"/>
          <w:color w:val="auto"/>
        </w:rPr>
        <w:t>家企业前往</w:t>
      </w:r>
      <w:r>
        <w:rPr>
          <w:rFonts w:ascii="Times New Roman" w:hAnsi="Times New Roman" w:eastAsia="Times New Roman" w:cs="Times New Roman"/>
          <w:color w:val="auto"/>
        </w:rPr>
        <w:t>T</w:t>
      </w:r>
      <w:r>
        <w:rPr>
          <w:rFonts w:ascii="楷体" w:hAnsi="楷体" w:eastAsia="楷体" w:cs="楷体"/>
          <w:color w:val="auto"/>
        </w:rPr>
        <w:t>县投资，帮助当地</w:t>
      </w:r>
      <w:r>
        <w:rPr>
          <w:rFonts w:ascii="Times New Roman" w:hAnsi="Times New Roman" w:eastAsia="Times New Roman" w:cs="Times New Roman"/>
          <w:color w:val="auto"/>
        </w:rPr>
        <w:t>4</w:t>
      </w:r>
      <w:r>
        <w:rPr>
          <w:rFonts w:ascii="楷体" w:hAnsi="楷体" w:eastAsia="楷体" w:cs="楷体"/>
          <w:color w:val="auto"/>
        </w:rPr>
        <w:t>万多人就业，同时在本市设立了山海协作产品展销中心；两地在</w:t>
      </w:r>
      <w:r>
        <w:rPr>
          <w:rFonts w:ascii="Times New Roman" w:hAnsi="Times New Roman" w:eastAsia="Times New Roman" w:cs="Times New Roman"/>
          <w:color w:val="auto"/>
        </w:rPr>
        <w:t>T</w:t>
      </w:r>
      <w:r>
        <w:rPr>
          <w:rFonts w:ascii="楷体" w:hAnsi="楷体" w:eastAsia="楷体" w:cs="楷体"/>
          <w:color w:val="auto"/>
        </w:rPr>
        <w:t>县共建了工业园区。据此完成下面小题。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Times New Roman" w:hAnsi="Times New Roman" w:eastAsia="Times New Roman" w:cs="Times New Roman"/>
          <w:color w:val="auto"/>
        </w:rPr>
        <w:t>S</w:t>
      </w:r>
      <w:r>
        <w:rPr>
          <w:rFonts w:ascii="宋体" w:hAnsi="宋体" w:eastAsia="宋体" w:cs="宋体"/>
          <w:color w:val="auto"/>
        </w:rPr>
        <w:t>市企业前往</w:t>
      </w:r>
      <w:r>
        <w:rPr>
          <w:rFonts w:ascii="Times New Roman" w:hAnsi="Times New Roman" w:eastAsia="Times New Roman" w:cs="Times New Roman"/>
          <w:color w:val="auto"/>
        </w:rPr>
        <w:t>T</w:t>
      </w:r>
      <w:r>
        <w:rPr>
          <w:rFonts w:ascii="宋体" w:hAnsi="宋体" w:eastAsia="宋体" w:cs="宋体"/>
          <w:color w:val="auto"/>
        </w:rPr>
        <w:t>县投资，主要因为</w:t>
      </w:r>
      <w:r>
        <w:rPr>
          <w:rFonts w:ascii="Times New Roman" w:hAnsi="Times New Roman" w:eastAsia="Times New Roman" w:cs="Times New Roman"/>
          <w:color w:val="auto"/>
        </w:rPr>
        <w:t>T</w:t>
      </w:r>
      <w:r>
        <w:rPr>
          <w:rFonts w:ascii="宋体" w:hAnsi="宋体" w:eastAsia="宋体" w:cs="宋体"/>
          <w:color w:val="auto"/>
        </w:rPr>
        <w:t>县（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>
      <w:pPr>
        <w:pStyle w:val="13"/>
        <w:bidi w:val="0"/>
      </w:pPr>
      <w:r>
        <w:t>A. 技术先进</w:t>
      </w:r>
      <w:r>
        <w:tab/>
      </w:r>
      <w:r>
        <w:t>B. 劳动力充足</w:t>
      </w:r>
      <w:r>
        <w:rPr>
          <w:rFonts w:hint="eastAsia"/>
          <w:lang w:val="en-US" w:eastAsia="zh-CN"/>
        </w:rPr>
        <w:tab/>
      </w:r>
      <w:r>
        <w:t>C. 环境优美</w:t>
      </w:r>
      <w:r>
        <w:tab/>
      </w:r>
      <w:r>
        <w:t>D. 工业基础好</w:t>
      </w:r>
    </w:p>
    <w:p>
      <w:pPr>
        <w:spacing w:line="360" w:lineRule="auto"/>
        <w:jc w:val="left"/>
      </w:pPr>
      <w:r>
        <w:rPr>
          <w:color w:val="auto"/>
        </w:rPr>
        <w:t xml:space="preserve">2. </w:t>
      </w:r>
      <w:r>
        <w:rPr>
          <w:rFonts w:ascii="宋体" w:hAnsi="宋体" w:eastAsia="宋体" w:cs="宋体"/>
          <w:color w:val="auto"/>
        </w:rPr>
        <w:t>设立产品展销中心的直接影响是</w:t>
      </w:r>
      <w:r>
        <w:rPr>
          <w:rFonts w:ascii="Times New Roman" w:hAnsi="Times New Roman" w:eastAsia="Times New Roman" w:cs="Times New Roman"/>
          <w:color w:val="auto"/>
        </w:rPr>
        <w:t>T</w:t>
      </w:r>
      <w:r>
        <w:rPr>
          <w:rFonts w:ascii="宋体" w:hAnsi="宋体" w:eastAsia="宋体" w:cs="宋体"/>
          <w:color w:val="auto"/>
        </w:rPr>
        <w:t>县产品（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>
      <w:pPr>
        <w:pStyle w:val="13"/>
        <w:bidi w:val="0"/>
      </w:pPr>
      <w:r>
        <w:t>A. 质量提升</w:t>
      </w:r>
      <w:r>
        <w:tab/>
      </w:r>
      <w:r>
        <w:t>B. 生产规模扩大</w:t>
      </w:r>
      <w:r>
        <w:rPr>
          <w:rFonts w:hint="eastAsia"/>
          <w:lang w:val="en-US" w:eastAsia="zh-CN"/>
        </w:rPr>
        <w:tab/>
      </w:r>
      <w:r>
        <w:t>C. 研发加强</w:t>
      </w:r>
      <w:r>
        <w:tab/>
      </w:r>
      <w:r>
        <w:t>D. 知名程度提高</w:t>
      </w:r>
    </w:p>
    <w:p>
      <w:pPr>
        <w:spacing w:line="360" w:lineRule="auto"/>
        <w:jc w:val="left"/>
      </w:pPr>
      <w:r>
        <w:rPr>
          <w:color w:val="auto"/>
        </w:rPr>
        <w:t xml:space="preserve">3. </w:t>
      </w:r>
      <w:r>
        <w:rPr>
          <w:rFonts w:ascii="宋体" w:hAnsi="宋体" w:eastAsia="宋体" w:cs="宋体"/>
          <w:color w:val="auto"/>
        </w:rPr>
        <w:t>共建的工业园区最有可能（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>
      <w:pPr>
        <w:pStyle w:val="13"/>
        <w:bidi w:val="0"/>
      </w:pPr>
      <w:r>
        <w:t>A. 加大T县人口迁出</w:t>
      </w:r>
      <w:r>
        <w:tab/>
      </w:r>
      <w:r>
        <w:t>B. 提高S市城市规模等级</w:t>
      </w:r>
    </w:p>
    <w:p>
      <w:pPr>
        <w:pStyle w:val="13"/>
        <w:bidi w:val="0"/>
      </w:pPr>
      <w:r>
        <w:t>C. 优化T县产业结构</w:t>
      </w:r>
      <w:r>
        <w:tab/>
      </w:r>
      <w:r>
        <w:t>D. 加速S市逆城市化进程</w:t>
      </w:r>
    </w:p>
    <w:p>
      <w:pPr>
        <w:pStyle w:val="4"/>
        <w:bidi w:val="0"/>
      </w:pPr>
      <w:r>
        <w:t>网络信息技术的发展使得地理的空间限制在逐渐减弱。福建省某超市以销售多种生鲜商品为主，十年来盈利大幅增长。下表为该超市空间位置的变化。据此完成下面小题。</w:t>
      </w:r>
    </w:p>
    <w:tbl>
      <w:tblPr>
        <w:tblStyle w:val="10"/>
        <w:tblW w:w="99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51"/>
        <w:gridCol w:w="2295"/>
        <w:gridCol w:w="2442"/>
        <w:gridCol w:w="2295"/>
        <w:gridCol w:w="17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年份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是否位于商圈</w:t>
            </w:r>
          </w:p>
        </w:tc>
        <w:tc>
          <w:tcPr>
            <w:tcW w:w="2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距离商圈中心/km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临近道路等级</w:t>
            </w:r>
          </w:p>
        </w:tc>
        <w:tc>
          <w:tcPr>
            <w:tcW w:w="1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</w:rPr>
            </w:pPr>
            <w:r>
              <w:rPr>
                <w:rFonts w:hint="default" w:ascii="Times New Roman" w:hAnsi="Times New Roman" w:eastAsia="黑体" w:cs="Times New Roman"/>
              </w:rPr>
              <w:t>所在楼层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2015年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是</w:t>
            </w:r>
          </w:p>
        </w:tc>
        <w:tc>
          <w:tcPr>
            <w:tcW w:w="2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0.91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主干道</w:t>
            </w:r>
          </w:p>
        </w:tc>
        <w:tc>
          <w:tcPr>
            <w:tcW w:w="1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一层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2020年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是</w:t>
            </w:r>
          </w:p>
        </w:tc>
        <w:tc>
          <w:tcPr>
            <w:tcW w:w="2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1.59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次干道</w:t>
            </w:r>
          </w:p>
        </w:tc>
        <w:tc>
          <w:tcPr>
            <w:tcW w:w="1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一层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2025年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是</w:t>
            </w:r>
          </w:p>
        </w:tc>
        <w:tc>
          <w:tcPr>
            <w:tcW w:w="2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2.52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次干道</w:t>
            </w:r>
          </w:p>
        </w:tc>
        <w:tc>
          <w:tcPr>
            <w:tcW w:w="1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地下一层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以下影响该超市空间位置变化的因素中，最重要的是（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租金</w:t>
      </w:r>
      <w:r>
        <w:tab/>
      </w:r>
      <w:r>
        <w:t>B. 商品种类</w:t>
      </w:r>
      <w:r>
        <w:tab/>
      </w:r>
      <w:r>
        <w:t>C. 集聚</w:t>
      </w:r>
      <w:r>
        <w:tab/>
      </w:r>
      <w:r>
        <w:t>D. 人口分布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该超市十年来盈利大幅增长的原因最有可能是（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经营成本降低</w:t>
      </w:r>
      <w:r>
        <w:tab/>
      </w:r>
      <w:r>
        <w:t>B. 服务范围扩大</w:t>
      </w:r>
      <w:r>
        <w:rPr>
          <w:rFonts w:hint="eastAsia"/>
          <w:lang w:val="en-US" w:eastAsia="zh-CN"/>
        </w:rPr>
        <w:tab/>
      </w:r>
      <w:r>
        <w:t>C. 进货距离缩短</w:t>
      </w:r>
      <w:r>
        <w:tab/>
      </w:r>
      <w:r>
        <w:t>D. 到店人数增加</w:t>
      </w:r>
    </w:p>
    <w:p>
      <w:pPr>
        <w:pStyle w:val="4"/>
        <w:bidi w:val="0"/>
        <w:rPr>
          <w:rFonts w:ascii="楷体" w:hAnsi="楷体" w:eastAsia="楷体" w:cs="楷体"/>
          <w:color w:val="000000"/>
        </w:rPr>
      </w:pPr>
      <w:r>
        <w:rPr>
          <w:rFonts w:ascii="楷体" w:hAnsi="楷体" w:eastAsia="楷体" w:cs="楷体"/>
          <w:color w:val="000000"/>
        </w:rPr>
        <w:t>较小的风速、充足的水汽和深厚的低空逆温层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楷体" w:hAnsi="楷体" w:eastAsia="楷体" w:cs="楷体"/>
          <w:color w:val="000000"/>
        </w:rPr>
        <w:t>对流层中气温随着高度增加而上升的层次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楷体" w:hAnsi="楷体" w:eastAsia="楷体" w:cs="楷体"/>
          <w:color w:val="000000"/>
        </w:rPr>
        <w:t>是形成浓雾的有利条件。甲地位于天山山脉北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楷体" w:hAnsi="楷体" w:eastAsia="楷体" w:cs="楷体"/>
          <w:color w:val="000000"/>
        </w:rPr>
        <w:t>坡，海拔约</w:t>
      </w:r>
      <w:r>
        <w:rPr>
          <w:rFonts w:ascii="Times New Roman" w:hAnsi="Times New Roman" w:eastAsia="Times New Roman" w:cs="Times New Roman"/>
          <w:color w:val="000000"/>
        </w:rPr>
        <w:t>650m</w:t>
      </w:r>
      <w:r>
        <w:rPr>
          <w:rFonts w:ascii="楷体" w:hAnsi="楷体" w:eastAsia="楷体" w:cs="楷体"/>
          <w:color w:val="000000"/>
        </w:rPr>
        <w:t>。</w:t>
      </w:r>
      <w:r>
        <w:rPr>
          <w:rFonts w:ascii="Times New Roman" w:hAnsi="Times New Roman" w:eastAsia="Times New Roman" w:cs="Times New Roman"/>
          <w:color w:val="000000"/>
        </w:rPr>
        <w:t>2021</w:t>
      </w:r>
      <w:r>
        <w:rPr>
          <w:rFonts w:ascii="楷体" w:hAnsi="楷体" w:eastAsia="楷体" w:cs="楷体"/>
          <w:color w:val="000000"/>
        </w:rPr>
        <w:t>年冬季某日受某地面天气系统的影响，该地经历了一次浓雾过程。下图示意甲地所在区域当日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00(</w:t>
      </w:r>
      <w:r>
        <w:rPr>
          <w:rFonts w:ascii="楷体" w:hAnsi="楷体" w:eastAsia="楷体" w:cs="楷体"/>
          <w:color w:val="000000"/>
        </w:rPr>
        <w:t>北京时间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楷体" w:hAnsi="楷体" w:eastAsia="楷体" w:cs="楷体"/>
          <w:color w:val="000000"/>
        </w:rPr>
        <w:t>的地面风场。据此完成下面小题。</w:t>
      </w:r>
    </w:p>
    <w:tbl>
      <w:tblPr>
        <w:tblStyle w:val="1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4000"/>
        <w:gridCol w:w="596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000" w:type="dxa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6. </w:t>
            </w:r>
            <w:r>
              <w:rPr>
                <w:rFonts w:ascii="宋体" w:hAnsi="宋体" w:eastAsia="宋体" w:cs="宋体"/>
                <w:color w:val="000000"/>
              </w:rPr>
              <w:t>当日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  <w:r>
              <w:rPr>
                <w:rFonts w:ascii="宋体" w:hAnsi="宋体" w:eastAsia="宋体" w:cs="宋体"/>
                <w:color w:val="000000"/>
              </w:rPr>
              <w:t>：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00(</w:t>
            </w:r>
            <w:r>
              <w:rPr>
                <w:rFonts w:ascii="宋体" w:hAnsi="宋体" w:eastAsia="宋体" w:cs="宋体"/>
                <w:color w:val="000000"/>
              </w:rPr>
              <w:t>北京时间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)</w:t>
            </w:r>
            <w:r>
              <w:rPr>
                <w:rFonts w:ascii="宋体" w:hAnsi="宋体" w:eastAsia="宋体" w:cs="宋体"/>
                <w:color w:val="000000"/>
              </w:rPr>
              <w:t>，甲地的天气情况是（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  <w:p>
            <w:pPr>
              <w:pStyle w:val="13"/>
              <w:bidi w:val="0"/>
            </w:pPr>
            <w:r>
              <w:t>A. 浓雾弥漫</w:t>
            </w:r>
          </w:p>
          <w:p>
            <w:pPr>
              <w:pStyle w:val="13"/>
              <w:bidi w:val="0"/>
            </w:pPr>
            <w:r>
              <w:t>B. 寒风凛冽</w:t>
            </w:r>
          </w:p>
          <w:p>
            <w:pPr>
              <w:pStyle w:val="13"/>
              <w:bidi w:val="0"/>
            </w:pPr>
            <w:r>
              <w:t>C. 云淡风轻</w:t>
            </w:r>
          </w:p>
          <w:p>
            <w:pPr>
              <w:pStyle w:val="13"/>
              <w:bidi w:val="0"/>
            </w:pPr>
            <w:r>
              <w:t>D. 微风细雨</w:t>
            </w:r>
          </w:p>
        </w:tc>
        <w:tc>
          <w:tcPr>
            <w:tcW w:w="5962" w:type="dxa"/>
          </w:tcPr>
          <w:p>
            <w:pPr>
              <w:bidi w:val="0"/>
            </w:pPr>
            <w:r>
              <w:rPr>
                <w:color w:val="000000"/>
              </w:rPr>
              <w:drawing>
                <wp:inline distT="0" distB="0" distL="114300" distR="114300">
                  <wp:extent cx="3601085" cy="1911350"/>
                  <wp:effectExtent l="0" t="0" r="18415" b="12700"/>
                  <wp:docPr id="100003" name="图片 10000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085" cy="191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此次浓雾过程中，水汽的来源主要是（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南侧暖湿气流</w:t>
      </w:r>
      <w:r>
        <w:tab/>
      </w:r>
      <w:r>
        <w:t>B. 局地地面蒸发</w:t>
      </w:r>
      <w:r>
        <w:rPr>
          <w:rFonts w:hint="eastAsia"/>
          <w:lang w:val="en-US" w:eastAsia="zh-CN"/>
        </w:rPr>
        <w:tab/>
      </w:r>
      <w:r>
        <w:t>C. 北侧冷湿气流</w:t>
      </w:r>
      <w:r>
        <w:tab/>
      </w:r>
      <w:r>
        <w:t>D. 冰洋冷湿气流</w:t>
      </w:r>
    </w:p>
    <w:p>
      <w:pPr>
        <w:bidi w:val="0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此次浓雾过程初期，气流抬升降温是低空逆温层形成的重要原因。此后，有助于维持逆温层的是（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锋上空气抬升降温</w:t>
      </w:r>
      <w:r>
        <w:tab/>
      </w:r>
      <w:r>
        <w:t>B. 东南气流下沉增温</w:t>
      </w:r>
    </w:p>
    <w:p>
      <w:pPr>
        <w:pStyle w:val="13"/>
        <w:bidi w:val="0"/>
        <w:rPr>
          <w:rFonts w:ascii="楷体" w:hAnsi="楷体" w:eastAsia="楷体" w:cs="楷体"/>
          <w:color w:val="000000"/>
        </w:rPr>
      </w:pPr>
      <w:r>
        <w:t>C. 空气对流上升降温</w:t>
      </w:r>
      <w:r>
        <w:tab/>
      </w:r>
      <w:r>
        <w:t>D. 冷暖空气混合增温</w:t>
      </w:r>
    </w:p>
    <w:tbl>
      <w:tblPr>
        <w:tblStyle w:val="1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4136"/>
        <w:gridCol w:w="58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136" w:type="dxa"/>
          </w:tcPr>
          <w:p>
            <w:pPr>
              <w:pStyle w:val="4"/>
              <w:bidi w:val="0"/>
            </w:pPr>
            <w:r>
              <w:rPr>
                <w:rFonts w:ascii="楷体" w:hAnsi="楷体" w:eastAsia="楷体" w:cs="楷体"/>
                <w:color w:val="000000"/>
              </w:rPr>
              <w:t>为了研究山体遮挡对太阳辐射的影响，在我国某峡谷谷底中部设立观测站点。该峡谷两侧山体海拔相当、坡度均约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45</w:t>
            </w:r>
            <w:r>
              <w:rPr>
                <w:rFonts w:ascii="楷体" w:hAnsi="楷体" w:eastAsia="楷体" w:cs="楷体"/>
                <w:color w:val="000000"/>
              </w:rPr>
              <w:t>°。下图示意该站点某日太阳直接辐射强度和整点时刻的太阳直接辐射</w:t>
            </w:r>
          </w:p>
        </w:tc>
        <w:tc>
          <w:tcPr>
            <w:tcW w:w="5826" w:type="dxa"/>
          </w:tcPr>
          <w:p>
            <w:pPr>
              <w:bidi w:val="0"/>
            </w:pPr>
            <w:r>
              <w:rPr>
                <w:color w:val="000000"/>
              </w:rPr>
              <w:drawing>
                <wp:inline distT="0" distB="0" distL="114300" distR="114300">
                  <wp:extent cx="3395980" cy="1879600"/>
                  <wp:effectExtent l="0" t="0" r="13970" b="6350"/>
                  <wp:docPr id="100005" name="图片 10000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980" cy="18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遮挡情况。据此完成下面小题。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该峡谷所在的山脉及该日最接近的分别是（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昆仑山脉，夏至日</w:t>
      </w:r>
      <w:r>
        <w:rPr>
          <w:rFonts w:hint="eastAsia"/>
          <w:lang w:val="en-US" w:eastAsia="zh-CN"/>
        </w:rPr>
        <w:tab/>
      </w:r>
      <w:r>
        <w:t>B. 祁连山脉，夏至日</w:t>
      </w:r>
    </w:p>
    <w:p>
      <w:pPr>
        <w:pStyle w:val="13"/>
        <w:bidi w:val="0"/>
        <w:rPr>
          <w:color w:val="000000"/>
        </w:rPr>
      </w:pPr>
      <w:r>
        <w:t>C. 太行山脉，冬至日</w:t>
      </w:r>
      <w:r>
        <w:rPr>
          <w:rFonts w:hint="eastAsia"/>
          <w:lang w:val="en-US" w:eastAsia="zh-CN"/>
        </w:rPr>
        <w:tab/>
      </w:r>
      <w:r>
        <w:t>D. 横断山脉，冬至日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与该峡谷走向最符合的是（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60700" cy="1132205"/>
            <wp:effectExtent l="0" t="0" r="6350" b="1079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rcRect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2991485" cy="1106805"/>
            <wp:effectExtent l="0" t="0" r="18415" b="17145"/>
            <wp:docPr id="4" name="图片 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rcRect t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bidi w:val="0"/>
      </w:pPr>
      <w:r>
        <w:t>A. ①</w:t>
      </w:r>
      <w:r>
        <w:tab/>
      </w:r>
      <w:r>
        <w:t>B. ②</w:t>
      </w:r>
      <w:r>
        <w:tab/>
      </w:r>
      <w:r>
        <w:t>C. ③</w:t>
      </w:r>
      <w:r>
        <w:tab/>
      </w:r>
      <w:r>
        <w:t>D. ④</w:t>
      </w:r>
    </w:p>
    <w:tbl>
      <w:tblPr>
        <w:tblStyle w:val="1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4246"/>
        <w:gridCol w:w="57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46" w:type="dxa"/>
          </w:tcPr>
          <w:p>
            <w:pPr>
              <w:pStyle w:val="4"/>
              <w:bidi w:val="0"/>
            </w:pPr>
            <w:r>
              <w:rPr>
                <w:rFonts w:ascii="Times New Roman" w:hAnsi="Times New Roman" w:eastAsia="Times New Roman" w:cs="Times New Roman"/>
                <w:color w:val="000000"/>
              </w:rPr>
              <w:t>G</w:t>
            </w:r>
            <w:r>
              <w:rPr>
                <w:rFonts w:ascii="楷体" w:hAnsi="楷体" w:eastAsia="楷体" w:cs="楷体"/>
                <w:color w:val="000000"/>
              </w:rPr>
              <w:t>社区位于巴塞罗那市的中心区，是欧洲最具魅力的旅游地之一，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楷体" w:hAnsi="楷体" w:eastAsia="楷体" w:cs="楷体"/>
                <w:color w:val="000000"/>
              </w:rPr>
              <w:t>不断吸引从事金融、设计等职业的跨国移民来此定居。下图示意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1998</w:t>
            </w:r>
            <w:r>
              <w:rPr>
                <w:rFonts w:ascii="楷体" w:hAnsi="楷体" w:eastAsia="楷体" w:cs="楷体"/>
                <w:color w:val="000000"/>
              </w:rPr>
              <w:t>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楷体" w:hAnsi="楷体" w:eastAsia="楷体" w:cs="楷体"/>
                <w:color w:val="000000"/>
              </w:rPr>
              <w:t>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2016</w:t>
            </w:r>
            <w:r>
              <w:rPr>
                <w:rFonts w:ascii="楷体" w:hAnsi="楷体" w:eastAsia="楷体" w:cs="楷体"/>
                <w:color w:val="000000"/>
              </w:rPr>
              <w:t>年该社区原有居民与跨国移民的年龄结构；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1998</w:t>
            </w:r>
            <w:r>
              <w:rPr>
                <w:rFonts w:ascii="楷体" w:hAnsi="楷体" w:eastAsia="楷体" w:cs="楷体"/>
                <w:color w:val="000000"/>
              </w:rPr>
              <w:t>年该社区原有居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楷体" w:hAnsi="楷体" w:eastAsia="楷体" w:cs="楷体"/>
                <w:color w:val="000000"/>
              </w:rPr>
              <w:t>民多为长期租户；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1998</w:t>
            </w:r>
            <w:r>
              <w:rPr>
                <w:rFonts w:ascii="楷体" w:hAnsi="楷体" w:eastAsia="楷体" w:cs="楷体"/>
                <w:color w:val="000000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2016</w:t>
            </w:r>
            <w:r>
              <w:rPr>
                <w:rFonts w:ascii="楷体" w:hAnsi="楷体" w:eastAsia="楷体" w:cs="楷体"/>
                <w:color w:val="000000"/>
              </w:rPr>
              <w:t>年该社区</w:t>
            </w:r>
          </w:p>
        </w:tc>
        <w:tc>
          <w:tcPr>
            <w:tcW w:w="5716" w:type="dxa"/>
          </w:tcPr>
          <w:p>
            <w:pPr>
              <w:bidi w:val="0"/>
            </w:pPr>
            <w:r>
              <w:rPr>
                <w:color w:val="000000"/>
              </w:rPr>
              <w:drawing>
                <wp:inline distT="0" distB="0" distL="114300" distR="114300">
                  <wp:extent cx="3365500" cy="2600325"/>
                  <wp:effectExtent l="0" t="0" r="6350" b="9525"/>
                  <wp:docPr id="100009" name="图片 10000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3"/>
        <w:bidi w:val="0"/>
        <w:ind w:left="0" w:leftChars="0" w:firstLine="0" w:firstLineChars="0"/>
        <w:rPr>
          <w:color w:val="000000"/>
        </w:rPr>
      </w:pPr>
      <w:r>
        <w:rPr>
          <w:rFonts w:ascii="楷体" w:hAnsi="楷体" w:eastAsia="楷体" w:cs="楷体"/>
          <w:color w:val="000000"/>
        </w:rPr>
        <w:t>人口总量较稳定，跨国老年移民减少。据此完成下面小题。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关于图示，下列对应正确的是（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左侧代表1998年，①代表跨国移民</w:t>
      </w:r>
      <w:r>
        <w:rPr>
          <w:rFonts w:hint="eastAsia"/>
          <w:lang w:val="en-US" w:eastAsia="zh-CN"/>
        </w:rPr>
        <w:tab/>
      </w:r>
      <w:r>
        <w:t>B. 左侧代表1998年，①代表原有居民</w:t>
      </w:r>
    </w:p>
    <w:p>
      <w:pPr>
        <w:pStyle w:val="13"/>
        <w:bidi w:val="0"/>
      </w:pPr>
      <w:r>
        <w:t>C. 右侧代表1998年，①代表跨国移民</w:t>
      </w:r>
      <w:r>
        <w:rPr>
          <w:rFonts w:hint="eastAsia"/>
          <w:lang w:val="en-US" w:eastAsia="zh-CN"/>
        </w:rPr>
        <w:tab/>
      </w:r>
      <w:r>
        <w:t>D. 右侧代表1998年，①代表原有居民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Times New Roman" w:hAnsi="Times New Roman" w:eastAsia="Times New Roman" w:cs="Times New Roman"/>
          <w:color w:val="000000"/>
        </w:rPr>
        <w:t>1998</w:t>
      </w:r>
      <w:r>
        <w:rPr>
          <w:rFonts w:ascii="宋体" w:hAnsi="宋体" w:eastAsia="宋体" w:cs="宋体"/>
          <w:color w:val="000000"/>
        </w:rPr>
        <w:t>—</w:t>
      </w:r>
      <w:r>
        <w:rPr>
          <w:rFonts w:ascii="Times New Roman" w:hAnsi="Times New Roman" w:eastAsia="Times New Roman" w:cs="Times New Roman"/>
          <w:color w:val="000000"/>
        </w:rPr>
        <w:t>2016</w:t>
      </w:r>
      <w:r>
        <w:rPr>
          <w:rFonts w:ascii="宋体" w:hAnsi="宋体" w:eastAsia="宋体" w:cs="宋体"/>
          <w:color w:val="000000"/>
        </w:rPr>
        <w:t>年该社区原有居民迁移的主要影响因素是（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生活成本</w:t>
      </w:r>
      <w:r>
        <w:tab/>
      </w:r>
      <w:r>
        <w:t>B. 公共服务</w:t>
      </w:r>
      <w:r>
        <w:tab/>
      </w:r>
      <w:r>
        <w:t>C. 人口密度</w:t>
      </w:r>
      <w:r>
        <w:tab/>
      </w:r>
      <w:r>
        <w:t>D. 自然环境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相比</w:t>
      </w:r>
      <w:r>
        <w:rPr>
          <w:rFonts w:ascii="Times New Roman" w:hAnsi="Times New Roman" w:eastAsia="Times New Roman" w:cs="Times New Roman"/>
          <w:color w:val="000000"/>
        </w:rPr>
        <w:t>1998</w:t>
      </w:r>
      <w:r>
        <w:rPr>
          <w:rFonts w:ascii="宋体" w:hAnsi="宋体" w:eastAsia="宋体" w:cs="宋体"/>
          <w:color w:val="000000"/>
        </w:rPr>
        <w:t>年，</w:t>
      </w:r>
      <w:r>
        <w:rPr>
          <w:rFonts w:ascii="Times New Roman" w:hAnsi="Times New Roman" w:eastAsia="Times New Roman" w:cs="Times New Roman"/>
          <w:color w:val="000000"/>
        </w:rPr>
        <w:t>2016</w:t>
      </w:r>
      <w:r>
        <w:rPr>
          <w:rFonts w:ascii="宋体" w:hAnsi="宋体" w:eastAsia="宋体" w:cs="宋体"/>
          <w:color w:val="000000"/>
        </w:rPr>
        <w:t>年该社区（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劳动力供给短缺</w:t>
      </w:r>
      <w:r>
        <w:tab/>
      </w:r>
      <w:r>
        <w:t>B. 人口素质整体下降</w:t>
      </w:r>
    </w:p>
    <w:p>
      <w:pPr>
        <w:pStyle w:val="13"/>
        <w:bidi w:val="0"/>
      </w:pPr>
      <w:r>
        <w:t>C. 养老院数量增加</w:t>
      </w:r>
      <w:r>
        <w:tab/>
      </w:r>
      <w:r>
        <w:t>D. 幼儿教育质量提高</w:t>
      </w:r>
    </w:p>
    <w:p>
      <w:pPr>
        <w:pStyle w:val="4"/>
        <w:bidi w:val="0"/>
      </w:pPr>
      <w:r>
        <w:t>我国某区域地势平坦，风沙层相对稳定，分布着稀疏矮小的植物。该区域的植被反射率低于风沙层，植被覆盖度小于30%。下左图示意该区域的典型剖面，下右图示意该区域不同厚度(10cm、50cm、90cm和200cm)风沙层下土壤储水量变化。据此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99510" cy="1865630"/>
            <wp:effectExtent l="0" t="0" r="15240" b="127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50cm</w:t>
      </w:r>
      <w:r>
        <w:rPr>
          <w:rFonts w:ascii="宋体" w:hAnsi="宋体" w:eastAsia="宋体" w:cs="宋体"/>
          <w:color w:val="000000"/>
        </w:rPr>
        <w:t>厚度风沙层下土壤储水量变化对应的曲线是（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①</w:t>
      </w:r>
      <w:r>
        <w:tab/>
      </w:r>
      <w:r>
        <w:t>B. ②</w:t>
      </w:r>
      <w:r>
        <w:tab/>
      </w:r>
      <w:r>
        <w:t>C. ③</w:t>
      </w:r>
      <w:r>
        <w:tab/>
      </w:r>
      <w:r>
        <w:t>D. 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相比砂土，土壤为黏土时，</w:t>
      </w:r>
      <w:r>
        <w:rPr>
          <w:rFonts w:ascii="Times New Roman" w:hAnsi="Times New Roman" w:eastAsia="Times New Roman" w:cs="Times New Roman"/>
          <w:color w:val="000000"/>
        </w:rPr>
        <w:t xml:space="preserve">90 cm </w:t>
      </w:r>
      <w:r>
        <w:rPr>
          <w:rFonts w:ascii="宋体" w:hAnsi="宋体" w:eastAsia="宋体" w:cs="宋体"/>
          <w:color w:val="000000"/>
        </w:rPr>
        <w:t>厚度风沙层下的土壤层（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降水期土壤储水量增加速率较大，整个时期平均土壤储水量较大</w:t>
      </w:r>
    </w:p>
    <w:p>
      <w:pPr>
        <w:pStyle w:val="13"/>
        <w:bidi w:val="0"/>
      </w:pPr>
      <w:r>
        <w:t>B. 降水期土壤储水量增加速率较大，整个时期平均土壤储水量较小</w:t>
      </w:r>
    </w:p>
    <w:p>
      <w:pPr>
        <w:pStyle w:val="13"/>
        <w:bidi w:val="0"/>
      </w:pPr>
      <w:r>
        <w:t>C. 降水期土壤储水量增加速率较小，整个时期平均土壤储水量较大</w:t>
      </w:r>
    </w:p>
    <w:p>
      <w:pPr>
        <w:pStyle w:val="13"/>
        <w:bidi w:val="0"/>
      </w:pPr>
      <w:r>
        <w:t>D. 降水期土壤储水量增加速率较小，整个时期平均土壤储水量较小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图中所示剖面的风沙层厚度增大和地表植被覆盖度减小，将分别导致（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土壤温度年变化减小，地表年均温降低</w:t>
      </w:r>
    </w:p>
    <w:p>
      <w:pPr>
        <w:pStyle w:val="13"/>
        <w:bidi w:val="0"/>
      </w:pPr>
      <w:r>
        <w:t>B. 土壤温度年变化减小，地表年均温增高</w:t>
      </w:r>
    </w:p>
    <w:p>
      <w:pPr>
        <w:pStyle w:val="13"/>
        <w:bidi w:val="0"/>
      </w:pPr>
      <w:r>
        <w:t>C. 土壤温度年变化增大，地表年均温降低</w:t>
      </w:r>
    </w:p>
    <w:p>
      <w:pPr>
        <w:pStyle w:val="13"/>
        <w:bidi w:val="0"/>
      </w:pPr>
      <w:r>
        <w:t>D. 土壤温度年变化增大，地表年均温增高</w:t>
      </w:r>
    </w:p>
    <w:p>
      <w:r>
        <w:br w:type="page"/>
      </w:r>
    </w:p>
    <w:p>
      <w:pPr>
        <w:pStyle w:val="17"/>
        <w:bidi w:val="0"/>
      </w:pPr>
      <w:r>
        <w:t>二、非选择题：本题共3小题，共52分。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阅读图文材料，完成下列要求。</w:t>
      </w:r>
    </w:p>
    <w:p>
      <w:pPr>
        <w:pStyle w:val="4"/>
        <w:bidi w:val="0"/>
        <w:rPr>
          <w:color w:val="000000"/>
        </w:rPr>
      </w:pPr>
      <w:r>
        <w:rPr>
          <w:rFonts w:ascii="楷体" w:hAnsi="楷体" w:eastAsia="楷体" w:cs="楷体"/>
          <w:color w:val="000000"/>
        </w:rPr>
        <w:t>我国东南某流域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楷体" w:hAnsi="楷体" w:eastAsia="楷体" w:cs="楷体"/>
          <w:color w:val="000000"/>
        </w:rPr>
        <w:t>下左图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楷体" w:hAnsi="楷体" w:eastAsia="楷体" w:cs="楷体"/>
          <w:color w:val="000000"/>
        </w:rPr>
        <w:t>在台风影响下，暴雨、山洪和风暴潮叠加，易出现严重内涝。当地政府采取了诸多防灾减灾措施，工作初见成效。政府拟按海绵城市理念，完善城镇建设方案；改变传统的筑坝挡潮方式，将临近海岸的水网开放为潮流通道，使部分区域形成红树林湿地，助力打造休闲文旅带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63825" cy="2051685"/>
            <wp:effectExtent l="0" t="0" r="3175" b="571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2303780" cy="1554480"/>
            <wp:effectExtent l="0" t="0" r="1270" b="762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eastAsia="宋体"/>
          <w:lang w:eastAsia="zh-CN"/>
        </w:rPr>
      </w:pPr>
      <w:r>
        <w:t>（1）从地形角度，分析台风产生的暴雨易在该流域造成内涝的原因。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  <w:r>
        <w:t>（2）右图为某地建设方案(包括①、②和③三种做法)，选出不利于削减下游洪峰的做法，并说明理由。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8分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  <w:r>
        <w:t>（3）与传统的大规模筑坝挡潮方式相比，举出将临近海岸的水网开放为潮流通道产生的三点经济效益。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阅读图文材料，完成下列要求。</w:t>
      </w:r>
    </w:p>
    <w:p>
      <w:pPr>
        <w:pStyle w:val="4"/>
        <w:bidi w:val="0"/>
      </w:pPr>
      <w:r>
        <w:t>大西洋中Y火山岛（下图）上，火山熔岩在海岸形成陡崖，因火山地貌典型多样，该岛入选联合国教科文组织世界地质公园名录。为保障电力供应稳定，该岛采用风能和水能协调发电，其中水电由蓄能电站（利用风电抽取海水到蓄水池，再适时利用蓄水发电）提供。该岛拟合理开发西南海域旅游资源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19625" cy="2476500"/>
            <wp:effectExtent l="0" t="0" r="9525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甲、乙海岸的火山熔岩形成于同一时期。分别指出甲、乙的海岸侵蚀地貌类型，并从位置角度说明甲、乙海岸侵蚀作用的强弱。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8分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从①②两地选择更适合建设蓄能电站的地点，并给出选择依据。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8分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为该岛西南海域的旅游宣传提供两个能体现海水特色的关键词，并分别说明理由。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阅读图文材料，完成下列要求。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服务业在进行区位选择时必须考虑人口规模、交通因素以及被服务对象的需求与分布等。某区域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楷体" w:hAnsi="楷体" w:eastAsia="楷体" w:cs="楷体"/>
          <w:color w:val="000000"/>
        </w:rPr>
        <w:t>下图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楷体" w:hAnsi="楷体" w:eastAsia="楷体" w:cs="楷体"/>
          <w:color w:val="000000"/>
        </w:rPr>
        <w:t>致力打造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楷体" w:hAnsi="楷体" w:eastAsia="楷体" w:cs="楷体"/>
          <w:color w:val="000000"/>
        </w:rPr>
        <w:t>分钟运动圈，新建了</w:t>
      </w:r>
      <w:bookmarkStart w:id="1" w:name="_GoBack"/>
      <w:bookmarkEnd w:id="1"/>
      <w:r>
        <w:rPr>
          <w:rFonts w:ascii="楷体" w:hAnsi="楷体" w:eastAsia="楷体" w:cs="楷体"/>
          <w:color w:val="000000"/>
        </w:rPr>
        <w:t>一个运动场馆。这一场馆主要服务该区域居民，开放时段为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00</w:t>
      </w:r>
      <w:r>
        <w:rPr>
          <w:rFonts w:ascii="楷体" w:hAnsi="楷体" w:eastAsia="楷体" w:cs="楷体"/>
          <w:color w:val="000000"/>
        </w:rPr>
        <w:t>-</w:t>
      </w:r>
      <w:r>
        <w:rPr>
          <w:rFonts w:ascii="Times New Roman" w:hAnsi="Times New Roman" w:eastAsia="Times New Roman" w:cs="Times New Roman"/>
          <w:color w:val="000000"/>
        </w:rPr>
        <w:t>11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30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14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00-22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00</w:t>
      </w:r>
      <w:r>
        <w:rPr>
          <w:rFonts w:ascii="楷体" w:hAnsi="楷体" w:eastAsia="楷体" w:cs="楷体"/>
          <w:color w:val="000000"/>
        </w:rPr>
        <w:t>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21610" cy="2054225"/>
            <wp:effectExtent l="0" t="0" r="2540" b="317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16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请你设计一份调查方案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包括调查对象、调查方法、调查内容等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，调查目标如下：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①该场馆能否满足该区域居民的不同运动需求；</w:t>
      </w:r>
    </w:p>
    <w:p>
      <w:pPr>
        <w:spacing w:line="360" w:lineRule="auto"/>
        <w:jc w:val="both"/>
        <w:textAlignment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color w:val="000000"/>
        </w:rPr>
        <w:t>②该区域具有运动需求的居民在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分钟出行时间内能否到达该场馆。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68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EU-BZ-S92">
    <w:altName w:val="宋体"/>
    <w:panose1 w:val="03000502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hd w:val="clear"/>
      <w:jc w:val="center"/>
      <w:rPr>
        <w:rFonts w:hint="default" w:eastAsia="宋体"/>
        <w:color w:val="auto"/>
        <w:sz w:val="20"/>
        <w:szCs w:val="20"/>
        <w:highlight w:val="none"/>
        <w:shd w:val="clear"/>
        <w:lang w:val="en-US" w:eastAsia="zh-CN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7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LNJWO7QAAAABQEAAA8AAAAAAAAAAQAg&#10;AAAAIgAAAGRycy9kb3ducmV2LnhtbFBLAQIUABQAAAAIAIdO4kCGY0c6wQIAANYFAAAOAAAAAAAA&#10;AAEAIAAAAB8BAABkcnMvZTJvRG9jLnhtbFBLBQYAAAAABgAGAFkBAABS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7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color w:val="auto"/>
        <w:sz w:val="20"/>
        <w:szCs w:val="20"/>
        <w:highlight w:val="none"/>
        <w:shd w:val="clear"/>
      </w:rPr>
      <w:pict>
        <v:shape id="_x0000_s4098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auto"/>
        <w:sz w:val="20"/>
        <w:szCs w:val="20"/>
        <w:highlight w:val="none"/>
        <w:shd w:val="clear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7" name="图片 5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53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1"/>
      </w:pBdr>
      <w:tabs>
        <w:tab w:val="clear" w:pos="4153"/>
        <w:tab w:val="clear" w:pos="8306"/>
      </w:tabs>
      <w:jc w:val="both"/>
      <w:rPr>
        <w:rFonts w:hint="eastAsia" w:eastAsia="宋体"/>
        <w:sz w:val="2"/>
        <w:szCs w:val="2"/>
        <w:lang w:val="en-US" w:eastAsia="zh-CN"/>
      </w:rPr>
    </w:pPr>
    <w:r>
      <w:rPr>
        <w:sz w:val="18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5" name="图片 51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1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attachedTemplate r:id="rId1"/>
  <w:documentProtection w:enforcement="0"/>
  <w:defaultTabStop w:val="559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wM2Q1OGRmNDEwODQwZDFkZjY2MTgzYTVjMWRlYmIifQ=="/>
  </w:docVars>
  <w:rsids>
    <w:rsidRoot w:val="3E3D6850"/>
    <w:rsid w:val="00271769"/>
    <w:rsid w:val="02125874"/>
    <w:rsid w:val="02511125"/>
    <w:rsid w:val="02EF11E0"/>
    <w:rsid w:val="0308532E"/>
    <w:rsid w:val="03314D1D"/>
    <w:rsid w:val="0351647B"/>
    <w:rsid w:val="03823875"/>
    <w:rsid w:val="043517C8"/>
    <w:rsid w:val="05E07B33"/>
    <w:rsid w:val="06606BAA"/>
    <w:rsid w:val="085665DD"/>
    <w:rsid w:val="08F55C55"/>
    <w:rsid w:val="09795ED8"/>
    <w:rsid w:val="0A5719F4"/>
    <w:rsid w:val="0BF710B6"/>
    <w:rsid w:val="0CA27F6D"/>
    <w:rsid w:val="0DF235C6"/>
    <w:rsid w:val="117A1FB8"/>
    <w:rsid w:val="13560820"/>
    <w:rsid w:val="14245808"/>
    <w:rsid w:val="1425661F"/>
    <w:rsid w:val="151051AD"/>
    <w:rsid w:val="151505A6"/>
    <w:rsid w:val="15651EC7"/>
    <w:rsid w:val="15DC4AEB"/>
    <w:rsid w:val="16F77687"/>
    <w:rsid w:val="17AD6705"/>
    <w:rsid w:val="18627B26"/>
    <w:rsid w:val="19792817"/>
    <w:rsid w:val="19A726F3"/>
    <w:rsid w:val="1AD414AE"/>
    <w:rsid w:val="1B134E31"/>
    <w:rsid w:val="1B2B697D"/>
    <w:rsid w:val="1BEF4845"/>
    <w:rsid w:val="1C0C1868"/>
    <w:rsid w:val="1C4A593A"/>
    <w:rsid w:val="1C7424BB"/>
    <w:rsid w:val="1CF850DA"/>
    <w:rsid w:val="1E311151"/>
    <w:rsid w:val="1F822FAC"/>
    <w:rsid w:val="1F915A1E"/>
    <w:rsid w:val="1FC35144"/>
    <w:rsid w:val="21DF0DA7"/>
    <w:rsid w:val="21FB1FC8"/>
    <w:rsid w:val="22861EE6"/>
    <w:rsid w:val="23FE3C48"/>
    <w:rsid w:val="244C6AA5"/>
    <w:rsid w:val="24817E00"/>
    <w:rsid w:val="24DF3003"/>
    <w:rsid w:val="258A03E5"/>
    <w:rsid w:val="284D302B"/>
    <w:rsid w:val="286046C0"/>
    <w:rsid w:val="290D009F"/>
    <w:rsid w:val="29225C20"/>
    <w:rsid w:val="2A952A67"/>
    <w:rsid w:val="2B405F6E"/>
    <w:rsid w:val="2CFE1C64"/>
    <w:rsid w:val="2D6362A8"/>
    <w:rsid w:val="2DBC0049"/>
    <w:rsid w:val="2E8C25FF"/>
    <w:rsid w:val="2E991DFC"/>
    <w:rsid w:val="2FD92D9A"/>
    <w:rsid w:val="307D027D"/>
    <w:rsid w:val="326F5A60"/>
    <w:rsid w:val="331C222E"/>
    <w:rsid w:val="33EC3729"/>
    <w:rsid w:val="34446172"/>
    <w:rsid w:val="35A94E4B"/>
    <w:rsid w:val="35B4432A"/>
    <w:rsid w:val="37664296"/>
    <w:rsid w:val="38415FDC"/>
    <w:rsid w:val="396B39B6"/>
    <w:rsid w:val="3A260894"/>
    <w:rsid w:val="3A475A45"/>
    <w:rsid w:val="3BF24643"/>
    <w:rsid w:val="3C9C799F"/>
    <w:rsid w:val="3E3D6850"/>
    <w:rsid w:val="3EB137F4"/>
    <w:rsid w:val="3ED021CA"/>
    <w:rsid w:val="407F713A"/>
    <w:rsid w:val="40FA1332"/>
    <w:rsid w:val="43E56550"/>
    <w:rsid w:val="4434679C"/>
    <w:rsid w:val="445C3320"/>
    <w:rsid w:val="45421516"/>
    <w:rsid w:val="46D54976"/>
    <w:rsid w:val="474B65C4"/>
    <w:rsid w:val="476139C9"/>
    <w:rsid w:val="47A540B8"/>
    <w:rsid w:val="47C94F01"/>
    <w:rsid w:val="48232B17"/>
    <w:rsid w:val="48261766"/>
    <w:rsid w:val="48B91CF5"/>
    <w:rsid w:val="49335181"/>
    <w:rsid w:val="495C6E3B"/>
    <w:rsid w:val="499F46D9"/>
    <w:rsid w:val="4A0B5F87"/>
    <w:rsid w:val="4A4534F8"/>
    <w:rsid w:val="4B240D58"/>
    <w:rsid w:val="4B316775"/>
    <w:rsid w:val="4C1F27D1"/>
    <w:rsid w:val="4C712B5E"/>
    <w:rsid w:val="4C7D7706"/>
    <w:rsid w:val="4CE25BB7"/>
    <w:rsid w:val="4D0D48C2"/>
    <w:rsid w:val="4D4114BC"/>
    <w:rsid w:val="507C2A18"/>
    <w:rsid w:val="509760BC"/>
    <w:rsid w:val="528F513F"/>
    <w:rsid w:val="52907E88"/>
    <w:rsid w:val="530D4FE1"/>
    <w:rsid w:val="535237B6"/>
    <w:rsid w:val="54715AFF"/>
    <w:rsid w:val="54982C54"/>
    <w:rsid w:val="553C21CE"/>
    <w:rsid w:val="55A9315C"/>
    <w:rsid w:val="5615572F"/>
    <w:rsid w:val="5772462D"/>
    <w:rsid w:val="584032C1"/>
    <w:rsid w:val="5A6428FD"/>
    <w:rsid w:val="5B3F3078"/>
    <w:rsid w:val="5B9104C7"/>
    <w:rsid w:val="5C2F6C8E"/>
    <w:rsid w:val="5CE47FB1"/>
    <w:rsid w:val="5F1B3002"/>
    <w:rsid w:val="5FAC7002"/>
    <w:rsid w:val="60BE4D86"/>
    <w:rsid w:val="60C1494C"/>
    <w:rsid w:val="61B1667A"/>
    <w:rsid w:val="623161EC"/>
    <w:rsid w:val="62AA49F4"/>
    <w:rsid w:val="62D97141"/>
    <w:rsid w:val="62E50DCE"/>
    <w:rsid w:val="65D2447B"/>
    <w:rsid w:val="65DA7B27"/>
    <w:rsid w:val="66D37748"/>
    <w:rsid w:val="67EE3F38"/>
    <w:rsid w:val="68BF65E6"/>
    <w:rsid w:val="68F7287C"/>
    <w:rsid w:val="69761282"/>
    <w:rsid w:val="6A727EA8"/>
    <w:rsid w:val="6AC53A8A"/>
    <w:rsid w:val="6C4F025D"/>
    <w:rsid w:val="6EF130D7"/>
    <w:rsid w:val="6F802D90"/>
    <w:rsid w:val="6F896C52"/>
    <w:rsid w:val="6FBF058B"/>
    <w:rsid w:val="70493C15"/>
    <w:rsid w:val="70D57E48"/>
    <w:rsid w:val="711E7495"/>
    <w:rsid w:val="71533BDA"/>
    <w:rsid w:val="718C5BAF"/>
    <w:rsid w:val="73C81496"/>
    <w:rsid w:val="74BD7729"/>
    <w:rsid w:val="767859D3"/>
    <w:rsid w:val="76BF3A84"/>
    <w:rsid w:val="776D1464"/>
    <w:rsid w:val="777C7BE6"/>
    <w:rsid w:val="786A5025"/>
    <w:rsid w:val="79F44131"/>
    <w:rsid w:val="7A4B208E"/>
    <w:rsid w:val="7B5B4ACF"/>
    <w:rsid w:val="7B6D01CD"/>
    <w:rsid w:val="7BB70DC8"/>
    <w:rsid w:val="7C402716"/>
    <w:rsid w:val="7D157D55"/>
    <w:rsid w:val="7D91669E"/>
    <w:rsid w:val="7DF62E4B"/>
    <w:rsid w:val="7F8D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8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360" w:lineRule="auto"/>
      <w:jc w:val="center"/>
      <w:outlineLvl w:val="0"/>
    </w:pPr>
    <w:rPr>
      <w:rFonts w:ascii="Arial" w:hAnsi="Arial" w:eastAsia="黑体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jc w:val="center"/>
      <w:outlineLvl w:val="1"/>
    </w:pPr>
    <w:rPr>
      <w:rFonts w:ascii="Times New Roman" w:hAnsi="Times New Roman" w:eastAsia="宋体"/>
      <w:b/>
      <w:sz w:val="24"/>
    </w:rPr>
  </w:style>
  <w:style w:type="character" w:default="1" w:styleId="12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4"/>
    <w:qFormat/>
    <w:uiPriority w:val="0"/>
    <w:pPr>
      <w:kinsoku/>
      <w:overflowPunct w:val="0"/>
      <w:spacing w:line="360" w:lineRule="auto"/>
      <w:ind w:firstLine="562" w:firstLineChars="200"/>
    </w:pPr>
    <w:rPr>
      <w:rFonts w:eastAsia="楷体"/>
    </w:rPr>
  </w:style>
  <w:style w:type="paragraph" w:styleId="5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24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Arial" w:hAnsi="Arial" w:eastAsia="宋体"/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3">
    <w:name w:val="选项"/>
    <w:basedOn w:val="1"/>
    <w:qFormat/>
    <w:uiPriority w:val="0"/>
    <w:pPr>
      <w:widowControl w:val="0"/>
      <w:shd w:val="clear" w:color="auto" w:fill="auto"/>
      <w:tabs>
        <w:tab w:val="left" w:pos="263"/>
        <w:tab w:val="left" w:pos="2573"/>
        <w:tab w:val="left" w:pos="5093"/>
        <w:tab w:val="left" w:pos="7613"/>
      </w:tabs>
      <w:kinsoku/>
      <w:autoSpaceDE/>
      <w:autoSpaceDN/>
      <w:adjustRightInd w:val="0"/>
      <w:snapToGrid w:val="0"/>
      <w:spacing w:after="0" w:line="360" w:lineRule="auto"/>
      <w:ind w:left="612" w:hanging="306"/>
      <w:textAlignment w:val="center"/>
    </w:pPr>
    <w:rPr>
      <w:rFonts w:cs="Times New Roman"/>
      <w:snapToGrid/>
      <w:kern w:val="2"/>
      <w:szCs w:val="20"/>
      <w:lang w:eastAsia="zh-CN"/>
    </w:rPr>
  </w:style>
  <w:style w:type="character" w:customStyle="1" w:styleId="14">
    <w:name w:val="正文文本 Char"/>
    <w:link w:val="4"/>
    <w:qFormat/>
    <w:uiPriority w:val="0"/>
    <w:rPr>
      <w:rFonts w:eastAsia="楷体"/>
      <w:sz w:val="24"/>
    </w:rPr>
  </w:style>
  <w:style w:type="paragraph" w:customStyle="1" w:styleId="15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styleId="16">
    <w:name w:val="No Spacing"/>
    <w:qFormat/>
    <w:uiPriority w:val="0"/>
    <w:rPr>
      <w:rFonts w:ascii="NEU-BZ-S92" w:hAnsi="NEU-BZ-S92" w:eastAsia="方正书宋_GBK" w:cs="Times New Roman"/>
      <w:color w:val="000000"/>
      <w:sz w:val="18"/>
      <w:szCs w:val="22"/>
      <w:lang w:val="en-US" w:eastAsia="zh-CN" w:bidi="ar-SA"/>
    </w:rPr>
  </w:style>
  <w:style w:type="paragraph" w:customStyle="1" w:styleId="17">
    <w:name w:val="题型标题"/>
    <w:basedOn w:val="1"/>
    <w:qFormat/>
    <w:uiPriority w:val="0"/>
    <w:pPr>
      <w:wordWrap w:val="0"/>
      <w:spacing w:line="240" w:lineRule="auto"/>
    </w:pPr>
    <w:rPr>
      <w:rFonts w:hint="eastAsia" w:ascii="黑体" w:hAnsi="黑体" w:eastAsia="黑体" w:cs="黑体"/>
      <w:sz w:val="28"/>
      <w:szCs w:val="20"/>
    </w:rPr>
  </w:style>
  <w:style w:type="paragraph" w:customStyle="1" w:styleId="18">
    <w:name w:val="考试名称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eastAsia="宋体"/>
      <w:sz w:val="36"/>
      <w:szCs w:val="28"/>
      <w:lang w:eastAsia="zh-CN"/>
    </w:rPr>
  </w:style>
  <w:style w:type="paragraph" w:customStyle="1" w:styleId="19">
    <w:name w:val="科目名称"/>
    <w:basedOn w:val="1"/>
    <w:qFormat/>
    <w:uiPriority w:val="0"/>
    <w:pPr>
      <w:spacing w:before="50" w:beforeLines="50" w:after="50" w:afterLines="50" w:line="240" w:lineRule="auto"/>
      <w:jc w:val="center"/>
    </w:pPr>
    <w:rPr>
      <w:rFonts w:hint="eastAsia" w:ascii="黑体" w:hAnsi="黑体" w:eastAsia="黑体" w:cs="黑体"/>
      <w:sz w:val="48"/>
      <w:szCs w:val="40"/>
      <w:lang w:eastAsia="zh-CN"/>
    </w:rPr>
  </w:style>
  <w:style w:type="paragraph" w:customStyle="1" w:styleId="20">
    <w:name w:val="注意事项内容"/>
    <w:basedOn w:val="1"/>
    <w:qFormat/>
    <w:uiPriority w:val="0"/>
    <w:pPr>
      <w:spacing w:beforeLines="0" w:afterLines="0" w:line="240" w:lineRule="auto"/>
      <w:ind w:firstLine="560" w:firstLineChars="200"/>
    </w:pPr>
    <w:rPr>
      <w:rFonts w:hint="eastAsia" w:ascii="楷体" w:hAnsi="楷体" w:eastAsia="楷体" w:cs="楷体"/>
      <w:sz w:val="28"/>
      <w:szCs w:val="22"/>
      <w:lang w:eastAsia="zh-CN"/>
    </w:rPr>
  </w:style>
  <w:style w:type="paragraph" w:customStyle="1" w:styleId="21">
    <w:name w:val="第几卷"/>
    <w:basedOn w:val="1"/>
    <w:qFormat/>
    <w:uiPriority w:val="0"/>
    <w:pPr>
      <w:spacing w:before="50" w:beforeLines="50" w:after="50" w:afterLines="50" w:line="240" w:lineRule="auto"/>
      <w:jc w:val="center"/>
    </w:pPr>
    <w:rPr>
      <w:rFonts w:hint="eastAsia" w:ascii="方正小标宋简体" w:hAnsi="方正小标宋简体" w:eastAsia="方正小标宋简体" w:cs="方正小标宋简体"/>
      <w:sz w:val="32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7B75232B38-A165-1FB7-499C-2E1C792CACB5%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7B75232B38-A165-1FB7-499C-2E1C792CACB5%2525252525252525252525252525252525252525252525252525252525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edy_02\Desktop\BaiduSyncdisk\&#22320;&#29702;\&#35797;&#21367;\&#35797;&#21367;&#27169;&#26495;&#65288;A4&#32440;&#65289;_&#22235;&#21495;&#23383;&#20307;.dot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试卷模板（A4纸）_四号字体.dotx</Template>
  <Pages>1</Pages>
  <Words>246</Words>
  <Characters>258</Characters>
  <Lines>0</Lines>
  <Paragraphs>0</Paragraphs>
  <TotalTime>0</TotalTime>
  <ScaleCrop>false</ScaleCrop>
  <LinksUpToDate>false</LinksUpToDate>
  <CharactersWithSpaces>262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2026-04-29T11:43:00Z</dcterms:created>
  <dc:creator>Deledy_02</dc:creator>
  <cp:lastModifiedBy>Deledy_02</cp:lastModifiedBy>
  <dcterms:modified xsi:type="dcterms:W3CDTF">2026-04-29T11:57:42Z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  <property fmtid="{D5CDD505-2E9C-101B-9397-08002B2CF9AE}" pid="3" name="ICV">
    <vt:lpwstr>DA4B24ADD6044C228B8536EDE2BEE97A</vt:lpwstr>
  </property>
</Properties>
</file>