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bidi w:val="0"/>
      </w:pPr>
      <w:bookmarkStart w:id="0" w:name="_bookmark1"/>
      <w:bookmarkEnd w:id="0"/>
      <w:r>
        <w:drawing>
          <wp:anchor distT="0" distB="0" distL="114300" distR="114300" simplePos="0" relativeHeight="251659264" behindDoc="0" locked="0" layoutInCell="1" allowOverlap="1">
            <wp:simplePos x="0" y="0"/>
            <wp:positionH relativeFrom="page">
              <wp:posOffset>10198100</wp:posOffset>
            </wp:positionH>
            <wp:positionV relativeFrom="topMargin">
              <wp:posOffset>10642600</wp:posOffset>
            </wp:positionV>
            <wp:extent cx="444500" cy="469900"/>
            <wp:effectExtent l="0" t="0" r="12700" b="635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8"/>
                    <a:stretch>
                      <a:fillRect/>
                    </a:stretch>
                  </pic:blipFill>
                  <pic:spPr>
                    <a:xfrm>
                      <a:off x="0" y="0"/>
                      <a:ext cx="444500" cy="4699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page">
              <wp:posOffset>11747500</wp:posOffset>
            </wp:positionH>
            <wp:positionV relativeFrom="topMargin">
              <wp:posOffset>10706100</wp:posOffset>
            </wp:positionV>
            <wp:extent cx="355600" cy="279400"/>
            <wp:effectExtent l="0" t="0" r="6350" b="6350"/>
            <wp:wrapNone/>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355600" cy="279400"/>
                    </a:xfrm>
                    <a:prstGeom prst="rect">
                      <a:avLst/>
                    </a:prstGeom>
                  </pic:spPr>
                </pic:pic>
              </a:graphicData>
            </a:graphic>
          </wp:anchor>
        </w:drawing>
      </w:r>
      <w:r>
        <w:t>贵州省2025年普通高中学业水平选择性考试</w:t>
      </w:r>
    </w:p>
    <w:p>
      <w:pPr>
        <w:pStyle w:val="19"/>
        <w:bidi w:val="0"/>
      </w:pPr>
      <w:r>
        <w:t>地</w:t>
      </w:r>
      <w:r>
        <w:rPr>
          <w:rFonts w:hint="eastAsia"/>
          <w:lang w:val="en-US" w:eastAsia="zh-CN"/>
        </w:rPr>
        <w:t xml:space="preserve">  </w:t>
      </w:r>
      <w:r>
        <w:t>理</w:t>
      </w:r>
    </w:p>
    <w:p>
      <w:pPr>
        <w:pStyle w:val="17"/>
        <w:bidi w:val="0"/>
      </w:pPr>
      <w:r>
        <w:t>一、选择题：本题共16小题，每小题3分，共48分。在每小题给出的四个选项中，只有一项符合题目要求。</w:t>
      </w:r>
    </w:p>
    <w:p>
      <w:pPr>
        <w:pStyle w:val="4"/>
        <w:bidi w:val="0"/>
      </w:pPr>
      <w:r>
        <w:t>2010年，德国莱茵-内卡大都市区约70%的人口生活在城市，但呈现出部分人口回流到乡村的现象。2015年，该地区围绕</w:t>
      </w:r>
      <w:r>
        <w:rPr>
          <w:rFonts w:hint="eastAsia" w:eastAsia="宋体"/>
          <w:lang w:eastAsia="zh-CN"/>
        </w:rPr>
        <w:t>“</w:t>
      </w:r>
      <w:r>
        <w:t>可持续发展城市和乡村</w:t>
      </w:r>
      <w:r>
        <w:rPr>
          <w:rFonts w:hint="eastAsia" w:eastAsia="宋体"/>
          <w:lang w:eastAsia="zh-CN"/>
        </w:rPr>
        <w:t>”</w:t>
      </w:r>
      <w:r>
        <w:t>核心目标，开展城乡跨区域治理和统一规划，促进城乡经济繁荣。</w:t>
      </w:r>
      <w:r>
        <w:rPr>
          <w:rFonts w:hint="eastAsia" w:ascii="宋体" w:hAnsi="宋体" w:eastAsia="宋体" w:cs="宋体"/>
        </w:rPr>
        <w:t>据此完成下面小题。</w:t>
      </w:r>
    </w:p>
    <w:p>
      <w:pPr>
        <w:bidi w:val="0"/>
      </w:pPr>
      <w:r>
        <w:t>1. 2015年以来，莱茵—内卡的乡村地区（   ）</w:t>
      </w:r>
    </w:p>
    <w:p>
      <w:pPr>
        <w:pStyle w:val="13"/>
        <w:bidi w:val="0"/>
      </w:pPr>
      <w:r>
        <w:t>A. 服务功能单一</w:t>
      </w:r>
      <w:r>
        <w:tab/>
      </w:r>
      <w:r>
        <w:rPr>
          <w:rFonts w:hint="eastAsia"/>
          <w:lang w:val="en-US" w:eastAsia="zh-CN"/>
        </w:rPr>
        <w:tab/>
      </w:r>
      <w:r>
        <w:t>B. 空间结构稳定</w:t>
      </w:r>
    </w:p>
    <w:p>
      <w:pPr>
        <w:pStyle w:val="13"/>
        <w:bidi w:val="0"/>
      </w:pPr>
      <w:r>
        <w:t>C. 通勤人口减少</w:t>
      </w:r>
      <w:r>
        <w:tab/>
      </w:r>
      <w:r>
        <w:rPr>
          <w:rFonts w:hint="eastAsia"/>
          <w:lang w:val="en-US" w:eastAsia="zh-CN"/>
        </w:rPr>
        <w:tab/>
      </w:r>
      <w:r>
        <w:t>D. 信息交流增强</w:t>
      </w:r>
    </w:p>
    <w:p>
      <w:pPr>
        <w:bidi w:val="0"/>
      </w:pPr>
      <w:r>
        <w:t>2. 该大都市区实施城乡跨区域治理和统一规划</w:t>
      </w:r>
      <w:r>
        <w:rPr>
          <w:rFonts w:hint="eastAsia"/>
          <w:lang w:val="en-US" w:eastAsia="zh-CN"/>
        </w:rPr>
        <w:t>的</w:t>
      </w:r>
      <w:r>
        <w:t>主要目的是（   ）</w:t>
      </w:r>
    </w:p>
    <w:p>
      <w:pPr>
        <w:pStyle w:val="13"/>
        <w:bidi w:val="0"/>
      </w:pPr>
      <w:r>
        <w:t>A. 减少乡村生态环境破坏</w:t>
      </w:r>
      <w:r>
        <w:tab/>
      </w:r>
      <w:r>
        <w:t>B. 推动城乡的一体化发展</w:t>
      </w:r>
    </w:p>
    <w:p>
      <w:pPr>
        <w:pStyle w:val="13"/>
        <w:bidi w:val="0"/>
      </w:pPr>
      <w:r>
        <w:t>C. 改善乡村居民住房质量</w:t>
      </w:r>
      <w:r>
        <w:tab/>
      </w:r>
      <w:r>
        <w:t>D. 节省基础设施建设费用</w:t>
      </w:r>
    </w:p>
    <w:p>
      <w:pPr>
        <w:pStyle w:val="4"/>
        <w:bidi w:val="0"/>
      </w:pPr>
      <w:r>
        <w:t>明清时期，沅江上游的清水江、㵲阳河是贵州对外联系的重要通道，沿岸贸易往来频繁，木材成为该流域经济贸易的大宗商品之一。流域内分布数处徽派建筑风格聚落，其建筑风格与本土传统木构建筑差异较大。下图示意该流域部分徽派建筑风格聚落分布。</w:t>
      </w:r>
      <w:r>
        <w:rPr>
          <w:rFonts w:hint="eastAsia" w:ascii="宋体" w:hAnsi="宋体" w:eastAsia="宋体" w:cs="宋体"/>
        </w:rPr>
        <w:t>据此完成下面小题。</w:t>
      </w:r>
    </w:p>
    <w:p>
      <w:pPr>
        <w:spacing w:line="360" w:lineRule="auto"/>
        <w:jc w:val="center"/>
        <w:textAlignment w:val="center"/>
        <w:rPr>
          <w:color w:val="000000"/>
        </w:rPr>
      </w:pPr>
      <w:r>
        <w:rPr>
          <w:color w:val="000000"/>
        </w:rPr>
        <w:drawing>
          <wp:inline distT="0" distB="0" distL="114300" distR="114300">
            <wp:extent cx="3494405" cy="1562100"/>
            <wp:effectExtent l="0" t="0" r="1079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3494405" cy="1562100"/>
                    </a:xfrm>
                    <a:prstGeom prst="rect">
                      <a:avLst/>
                    </a:prstGeom>
                  </pic:spPr>
                </pic:pic>
              </a:graphicData>
            </a:graphic>
          </wp:inline>
        </w:drawing>
      </w:r>
    </w:p>
    <w:p>
      <w:pPr>
        <w:bidi w:val="0"/>
      </w:pPr>
      <w:r>
        <w:t>3. 明清时期，木材成为该流域大宗商品之一</w:t>
      </w:r>
      <w:r>
        <w:rPr>
          <w:rFonts w:hint="eastAsia"/>
          <w:lang w:val="en-US" w:eastAsia="zh-CN"/>
        </w:rPr>
        <w:t>的</w:t>
      </w:r>
      <w:r>
        <w:t>原因有（   ）</w:t>
      </w:r>
    </w:p>
    <w:p>
      <w:pPr>
        <w:pStyle w:val="13"/>
        <w:bidi w:val="0"/>
      </w:pPr>
      <w:r>
        <w:t>①水陆交通便利    ②林木资源丰富    ③市场需求旺盛    ④河流蜿蜒湍急</w:t>
      </w:r>
    </w:p>
    <w:p>
      <w:pPr>
        <w:pStyle w:val="13"/>
        <w:bidi w:val="0"/>
      </w:pPr>
      <w:r>
        <w:t>A</w:t>
      </w:r>
      <w:r>
        <w:drawing>
          <wp:inline distT="0" distB="0" distL="114300" distR="114300">
            <wp:extent cx="31750" cy="889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t xml:space="preserve"> ①②</w:t>
      </w:r>
      <w:r>
        <w:tab/>
      </w:r>
      <w:r>
        <w:t>B. ①④</w:t>
      </w:r>
      <w:r>
        <w:tab/>
      </w:r>
      <w:r>
        <w:t>C. ②③</w:t>
      </w:r>
      <w:r>
        <w:tab/>
      </w:r>
      <w:r>
        <w:t>D. ③④</w:t>
      </w:r>
    </w:p>
    <w:p>
      <w:pPr>
        <w:bidi w:val="0"/>
      </w:pPr>
      <w:r>
        <w:t>4. 该流域分布数处徽派建筑风格聚落的主要原因是（   ）</w:t>
      </w:r>
    </w:p>
    <w:p>
      <w:pPr>
        <w:pStyle w:val="13"/>
        <w:bidi w:val="0"/>
      </w:pPr>
      <w:r>
        <w:t>A</w:t>
      </w:r>
      <w:r>
        <w:drawing>
          <wp:inline distT="0" distB="0" distL="114300" distR="114300">
            <wp:extent cx="31750" cy="889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t xml:space="preserve"> 自然条件优越</w:t>
      </w:r>
      <w:r>
        <w:tab/>
      </w:r>
      <w:r>
        <w:rPr>
          <w:rFonts w:hint="eastAsia"/>
          <w:lang w:val="en-US" w:eastAsia="zh-CN"/>
        </w:rPr>
        <w:tab/>
      </w:r>
      <w:r>
        <w:t>B. 贸易往来频繁</w:t>
      </w:r>
    </w:p>
    <w:p>
      <w:pPr>
        <w:pStyle w:val="13"/>
        <w:bidi w:val="0"/>
      </w:pPr>
      <w:r>
        <w:t>C. 建筑材料丰富</w:t>
      </w:r>
      <w:r>
        <w:tab/>
      </w:r>
      <w:r>
        <w:rPr>
          <w:rFonts w:hint="eastAsia"/>
          <w:lang w:val="en-US" w:eastAsia="zh-CN"/>
        </w:rPr>
        <w:tab/>
      </w:r>
      <w:r>
        <w:t>D. 政府大力支持</w:t>
      </w:r>
    </w:p>
    <w:p>
      <w:pPr>
        <w:bidi w:val="0"/>
      </w:pPr>
      <w:r>
        <w:t>5. 与本土传统建筑相比，徽派建筑（   ）</w:t>
      </w:r>
    </w:p>
    <w:p>
      <w:pPr>
        <w:pStyle w:val="13"/>
        <w:bidi w:val="0"/>
      </w:pPr>
      <w:r>
        <w:t>A. 取材更便利</w:t>
      </w:r>
      <w:r>
        <w:tab/>
      </w:r>
      <w:r>
        <w:t>B. 通风效果好</w:t>
      </w:r>
      <w:r>
        <w:rPr>
          <w:rFonts w:hint="eastAsia"/>
          <w:lang w:val="en-US" w:eastAsia="zh-CN"/>
        </w:rPr>
        <w:tab/>
      </w:r>
      <w:r>
        <w:t>C. 火灾隐患少</w:t>
      </w:r>
      <w:r>
        <w:tab/>
      </w:r>
      <w:r>
        <w:rPr>
          <w:rFonts w:hint="eastAsia"/>
          <w:lang w:val="en-US" w:eastAsia="zh-CN"/>
        </w:rPr>
        <w:tab/>
      </w:r>
      <w:r>
        <w:t>D. 选址更灵活</w:t>
      </w:r>
    </w:p>
    <w:p>
      <w:pPr>
        <w:pStyle w:val="4"/>
        <w:bidi w:val="0"/>
      </w:pPr>
      <w:r>
        <w:t>随着社会发展和家庭结构变化，我国传统家庭的</w:t>
      </w:r>
      <w:r>
        <w:rPr>
          <w:rFonts w:hint="eastAsia" w:eastAsia="宋体"/>
          <w:lang w:eastAsia="zh-CN"/>
        </w:rPr>
        <w:t>“</w:t>
      </w:r>
      <w:r>
        <w:t>一老一小</w:t>
      </w:r>
      <w:r>
        <w:rPr>
          <w:rFonts w:hint="eastAsia" w:eastAsia="宋体"/>
          <w:lang w:eastAsia="zh-CN"/>
        </w:rPr>
        <w:t>”</w:t>
      </w:r>
      <w:r>
        <w:t>问题日益受到社会关注。近年来，杭州市成为我国最具活力的城市之一，常住人口增长较快。为完善人口服务体系，杭州市积极进行社区服务数智化建设的探索。通过搭建数智化平台，提供健康监测与康复、婴幼儿护育、助餐助学等数智医养一体化服务。</w:t>
      </w:r>
      <w:r>
        <w:rPr>
          <w:rFonts w:hint="eastAsia" w:ascii="宋体" w:hAnsi="宋体" w:eastAsia="宋体" w:cs="宋体"/>
        </w:rPr>
        <w:t>据此完成下面小题。</w:t>
      </w:r>
    </w:p>
    <w:p>
      <w:pPr>
        <w:bidi w:val="0"/>
      </w:pPr>
      <w:r>
        <w:t>6. 推测近年来杭州市人口数量增长最多的是（   ）</w:t>
      </w:r>
    </w:p>
    <w:p>
      <w:pPr>
        <w:pStyle w:val="13"/>
        <w:bidi w:val="0"/>
      </w:pPr>
      <w:r>
        <w:t>A. 婴幼儿</w:t>
      </w:r>
      <w:r>
        <w:tab/>
      </w:r>
      <w:r>
        <w:rPr>
          <w:rFonts w:hint="eastAsia"/>
          <w:lang w:val="en-US" w:eastAsia="zh-CN"/>
        </w:rPr>
        <w:tab/>
      </w:r>
      <w:r>
        <w:t>B. 青少年</w:t>
      </w:r>
    </w:p>
    <w:p>
      <w:pPr>
        <w:pStyle w:val="13"/>
        <w:bidi w:val="0"/>
      </w:pPr>
      <w:r>
        <w:t>C. 劳动力</w:t>
      </w:r>
      <w:r>
        <w:tab/>
      </w:r>
      <w:r>
        <w:rPr>
          <w:rFonts w:hint="eastAsia"/>
          <w:lang w:val="en-US" w:eastAsia="zh-CN"/>
        </w:rPr>
        <w:tab/>
      </w:r>
      <w:r>
        <w:t>D. 老年人</w:t>
      </w:r>
    </w:p>
    <w:p>
      <w:pPr>
        <w:bidi w:val="0"/>
      </w:pPr>
      <w:r>
        <w:t>7. 杭州市积极进行社区服务数智化建设的主要目的是（   ）</w:t>
      </w:r>
    </w:p>
    <w:p>
      <w:pPr>
        <w:pStyle w:val="13"/>
        <w:bidi w:val="0"/>
      </w:pPr>
      <w:r>
        <w:t>A. 提高社区服务效率</w:t>
      </w:r>
      <w:r>
        <w:tab/>
      </w:r>
      <w:r>
        <w:t>B. 改善城市营商环境</w:t>
      </w:r>
    </w:p>
    <w:p>
      <w:pPr>
        <w:pStyle w:val="13"/>
        <w:bidi w:val="0"/>
      </w:pPr>
      <w:r>
        <w:t>C. 提高数智治理水平</w:t>
      </w:r>
      <w:r>
        <w:tab/>
      </w:r>
      <w:r>
        <w:rPr>
          <w:rFonts w:hint="eastAsia"/>
          <w:lang w:val="en-US" w:eastAsia="zh-CN"/>
        </w:rPr>
        <w:tab/>
      </w:r>
      <w:r>
        <w:t>D. 增强养老育幼保障</w:t>
      </w:r>
    </w:p>
    <w:p>
      <w:pPr>
        <w:bidi w:val="0"/>
      </w:pPr>
      <w:r>
        <w:t>8. 杭州市社区服务数智化建设初期可能面临的困难有（   ）</w:t>
      </w:r>
    </w:p>
    <w:p>
      <w:pPr>
        <w:pStyle w:val="13"/>
        <w:bidi w:val="0"/>
      </w:pPr>
      <w:r>
        <w:t>①缺乏健全规范的标准体系    ②平台使用不够熟练</w:t>
      </w:r>
    </w:p>
    <w:p>
      <w:pPr>
        <w:pStyle w:val="13"/>
        <w:bidi w:val="0"/>
      </w:pPr>
      <w:r>
        <w:t>③信息化基础设施较为薄弱    ④社会需求不断减少</w:t>
      </w:r>
    </w:p>
    <w:p>
      <w:pPr>
        <w:pStyle w:val="13"/>
        <w:bidi w:val="0"/>
      </w:pPr>
      <w:r>
        <w:t>A. ①②</w:t>
      </w:r>
      <w:r>
        <w:tab/>
      </w:r>
      <w:r>
        <w:t>B. ①④</w:t>
      </w:r>
      <w:r>
        <w:tab/>
      </w:r>
      <w:r>
        <w:t>C. ②③</w:t>
      </w:r>
      <w:r>
        <w:tab/>
      </w:r>
      <w:r>
        <w:t>D. ③④</w:t>
      </w:r>
    </w:p>
    <w:p>
      <w:pPr>
        <w:pStyle w:val="4"/>
        <w:bidi w:val="0"/>
      </w:pPr>
      <w:r>
        <w:t>下图为桂中上林地区某地质剖面图。该区缺失志留纪地层，发育有侵蚀面（甲）、断层（F1、F2）和褶皱等。</w:t>
      </w:r>
      <w:r>
        <w:rPr>
          <w:rFonts w:hint="eastAsia" w:ascii="宋体" w:hAnsi="宋体" w:eastAsia="宋体" w:cs="宋体"/>
        </w:rPr>
        <w:t>据此完成下面小题。</w:t>
      </w:r>
    </w:p>
    <w:p>
      <w:pPr>
        <w:spacing w:line="360" w:lineRule="auto"/>
        <w:jc w:val="center"/>
        <w:textAlignment w:val="center"/>
        <w:rPr>
          <w:color w:val="000000"/>
        </w:rPr>
      </w:pPr>
      <w:r>
        <w:rPr>
          <w:color w:val="000000"/>
        </w:rPr>
        <w:drawing>
          <wp:inline distT="0" distB="0" distL="114300" distR="114300">
            <wp:extent cx="4743450" cy="12096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4743450" cy="1209675"/>
                    </a:xfrm>
                    <a:prstGeom prst="rect">
                      <a:avLst/>
                    </a:prstGeom>
                  </pic:spPr>
                </pic:pic>
              </a:graphicData>
            </a:graphic>
          </wp:inline>
        </w:drawing>
      </w:r>
    </w:p>
    <w:p>
      <w:pPr>
        <w:bidi w:val="0"/>
      </w:pPr>
      <w:r>
        <w:t>9. 图中M-N区域地质构造有（   ）</w:t>
      </w:r>
    </w:p>
    <w:p>
      <w:pPr>
        <w:pStyle w:val="13"/>
        <w:bidi w:val="0"/>
      </w:pPr>
      <w:r>
        <w:t>A. 地堑，向斜</w:t>
      </w:r>
      <w:r>
        <w:tab/>
      </w:r>
      <w:r>
        <w:rPr>
          <w:rFonts w:hint="eastAsia"/>
          <w:lang w:val="en-US" w:eastAsia="zh-CN"/>
        </w:rPr>
        <w:tab/>
      </w:r>
      <w:r>
        <w:t>B. 地垒，背斜</w:t>
      </w:r>
    </w:p>
    <w:p>
      <w:pPr>
        <w:pStyle w:val="13"/>
        <w:bidi w:val="0"/>
      </w:pPr>
      <w:r>
        <w:t>C. 地堑，背斜</w:t>
      </w:r>
      <w:r>
        <w:tab/>
      </w:r>
      <w:r>
        <w:rPr>
          <w:rFonts w:hint="eastAsia"/>
          <w:lang w:val="en-US" w:eastAsia="zh-CN"/>
        </w:rPr>
        <w:tab/>
      </w:r>
      <w:r>
        <w:t>D. 地垒，向斜</w:t>
      </w:r>
    </w:p>
    <w:p>
      <w:pPr>
        <w:bidi w:val="0"/>
      </w:pPr>
      <w:r>
        <w:t>10. 图中石炭纪地层、侵蚀面（甲）和断层（F1）形成的先后顺序是（   ）</w:t>
      </w:r>
    </w:p>
    <w:p>
      <w:pPr>
        <w:pStyle w:val="13"/>
        <w:bidi w:val="0"/>
      </w:pPr>
      <w:r>
        <w:t>A. 甲、F1、石炭纪地层</w:t>
      </w:r>
      <w:r>
        <w:tab/>
      </w:r>
      <w:r>
        <w:t>B. 石炭纪地层、甲、F1</w:t>
      </w:r>
    </w:p>
    <w:p>
      <w:pPr>
        <w:pStyle w:val="13"/>
        <w:bidi w:val="0"/>
      </w:pPr>
      <w:r>
        <w:t>C. F1、石炭纪地层、甲</w:t>
      </w:r>
      <w:r>
        <w:tab/>
      </w:r>
      <w:r>
        <w:t>D. 甲、石炭纪地层、F1</w:t>
      </w:r>
    </w:p>
    <w:p>
      <w:pPr>
        <w:bidi w:val="0"/>
      </w:pPr>
      <w:r>
        <w:t>11. 该地区志留纪地层缺失的原因可能是（   ）</w:t>
      </w:r>
    </w:p>
    <w:p>
      <w:pPr>
        <w:pStyle w:val="13"/>
        <w:bidi w:val="0"/>
      </w:pPr>
      <w:r>
        <w:t>A. 地壳抬升，遭受剥蚀</w:t>
      </w:r>
      <w:r>
        <w:tab/>
      </w:r>
      <w:r>
        <w:t>B. 地壳下降，接受沉积</w:t>
      </w:r>
    </w:p>
    <w:p>
      <w:pPr>
        <w:pStyle w:val="13"/>
        <w:bidi w:val="0"/>
      </w:pPr>
      <w:r>
        <w:t>C. 地壳下降，遭受剥蚀</w:t>
      </w:r>
      <w:r>
        <w:tab/>
      </w:r>
      <w:r>
        <w:t>D. 地壳稳定，接受沉积</w:t>
      </w:r>
    </w:p>
    <w:p>
      <w:pPr>
        <w:pStyle w:val="4"/>
        <w:bidi w:val="0"/>
      </w:pPr>
      <w:r>
        <w:t>酋长岛位于非洲奥卡万戈三角洲中部，长约75km，最宽处约12km，是局部地壳抬升作用形成的岛屿。2009-2012年，该三角洲连续发生大范围洪涝灾害，酋长岛上地带性植被大面积死亡。下图示意奥卡万戈三角洲位置。</w:t>
      </w:r>
      <w:r>
        <w:rPr>
          <w:rFonts w:hint="eastAsia" w:ascii="宋体" w:hAnsi="宋体" w:eastAsia="宋体" w:cs="宋体"/>
        </w:rPr>
        <w:t>据此完成下面小题。</w:t>
      </w:r>
    </w:p>
    <w:p>
      <w:pPr>
        <w:spacing w:line="360" w:lineRule="auto"/>
        <w:jc w:val="center"/>
        <w:textAlignment w:val="center"/>
        <w:rPr>
          <w:color w:val="000000"/>
        </w:rPr>
      </w:pPr>
      <w:r>
        <w:rPr>
          <w:color w:val="000000"/>
        </w:rPr>
        <w:drawing>
          <wp:inline distT="0" distB="0" distL="114300" distR="114300">
            <wp:extent cx="3505200" cy="20288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3505200" cy="2028825"/>
                    </a:xfrm>
                    <a:prstGeom prst="rect">
                      <a:avLst/>
                    </a:prstGeom>
                  </pic:spPr>
                </pic:pic>
              </a:graphicData>
            </a:graphic>
          </wp:inline>
        </w:drawing>
      </w:r>
    </w:p>
    <w:p>
      <w:pPr>
        <w:bidi w:val="0"/>
      </w:pPr>
      <w:r>
        <w:t>12. 酋长岛2009-2012年地带性植被大面积死亡的主要原因是（   ）</w:t>
      </w:r>
    </w:p>
    <w:p>
      <w:pPr>
        <w:pStyle w:val="13"/>
        <w:bidi w:val="0"/>
      </w:pPr>
      <w:r>
        <w:t>A. 土壤水分少</w:t>
      </w:r>
      <w:r>
        <w:tab/>
      </w:r>
      <w:r>
        <w:rPr>
          <w:rFonts w:hint="eastAsia"/>
          <w:lang w:val="en-US" w:eastAsia="zh-CN"/>
        </w:rPr>
        <w:tab/>
      </w:r>
      <w:r>
        <w:t>B. 地表气温高</w:t>
      </w:r>
    </w:p>
    <w:p>
      <w:pPr>
        <w:pStyle w:val="13"/>
        <w:bidi w:val="0"/>
      </w:pPr>
      <w:r>
        <w:t>C. 短期强降水</w:t>
      </w:r>
      <w:r>
        <w:tab/>
      </w:r>
      <w:r>
        <w:rPr>
          <w:rFonts w:hint="eastAsia"/>
          <w:lang w:val="en-US" w:eastAsia="zh-CN"/>
        </w:rPr>
        <w:tab/>
      </w:r>
      <w:r>
        <w:t>D. 地下水位高</w:t>
      </w:r>
    </w:p>
    <w:p>
      <w:pPr>
        <w:bidi w:val="0"/>
      </w:pPr>
      <w:r>
        <w:t>13. 推测酋长岛中部土壤较周边（   ）</w:t>
      </w:r>
    </w:p>
    <w:p>
      <w:pPr>
        <w:pStyle w:val="13"/>
        <w:bidi w:val="0"/>
      </w:pPr>
      <w:r>
        <w:t>A. 透水性好</w:t>
      </w:r>
      <w:r>
        <w:tab/>
      </w:r>
      <w:r>
        <w:rPr>
          <w:rFonts w:hint="eastAsia"/>
          <w:lang w:val="en-US" w:eastAsia="zh-CN"/>
        </w:rPr>
        <w:tab/>
      </w:r>
      <w:r>
        <w:t>B. 肥力高</w:t>
      </w:r>
    </w:p>
    <w:p>
      <w:pPr>
        <w:pStyle w:val="13"/>
        <w:bidi w:val="0"/>
      </w:pPr>
      <w:r>
        <w:t>C. 质地黏重</w:t>
      </w:r>
      <w:r>
        <w:tab/>
      </w:r>
      <w:r>
        <w:rPr>
          <w:rFonts w:hint="eastAsia"/>
          <w:lang w:val="en-US" w:eastAsia="zh-CN"/>
        </w:rPr>
        <w:tab/>
      </w:r>
      <w:r>
        <w:t>D. 土层厚</w:t>
      </w:r>
    </w:p>
    <w:p>
      <w:pPr>
        <w:bidi w:val="0"/>
      </w:pPr>
      <w:r>
        <w:t>14. 未发生大范围洪涝灾害前，图中E-E＇沿线乔木数量的变化特征是（   ）</w:t>
      </w:r>
    </w:p>
    <w:p>
      <w:pPr>
        <w:pStyle w:val="13"/>
        <w:bidi w:val="0"/>
      </w:pPr>
      <w:r>
        <w:t>A. 先增加后减少</w:t>
      </w:r>
      <w:r>
        <w:tab/>
      </w:r>
      <w:r>
        <w:rPr>
          <w:rFonts w:hint="eastAsia"/>
          <w:lang w:val="en-US" w:eastAsia="zh-CN"/>
        </w:rPr>
        <w:tab/>
      </w:r>
      <w:r>
        <w:t>B. 减少</w:t>
      </w:r>
    </w:p>
    <w:p>
      <w:pPr>
        <w:pStyle w:val="13"/>
        <w:bidi w:val="0"/>
      </w:pPr>
      <w:r>
        <w:t>C. 先减少后增加</w:t>
      </w:r>
      <w:r>
        <w:tab/>
      </w:r>
      <w:r>
        <w:rPr>
          <w:rFonts w:hint="eastAsia"/>
          <w:lang w:val="en-US" w:eastAsia="zh-CN"/>
        </w:rPr>
        <w:tab/>
      </w:r>
      <w:r>
        <w:t>D. 增加</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836"/>
        <w:gridCol w:w="6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81" w:type="dxa"/>
          </w:tcPr>
          <w:p>
            <w:pPr>
              <w:pStyle w:val="4"/>
              <w:bidi w:val="0"/>
            </w:pPr>
            <w:r>
              <w:t>冰雹是由强对流引发的一种天气现象，具有较强的局地性和突发性。我国川西高原某年6月22日经历了一次冰雹天气。下图为当日18时沿32.8°N气流垂直速度剖面（Pa·s-1是气象部门计量空气垂直运动速度的单位）。</w:t>
            </w:r>
            <w:r>
              <w:rPr>
                <w:rFonts w:hint="eastAsia" w:ascii="宋体" w:hAnsi="宋体" w:eastAsia="宋体" w:cs="宋体"/>
              </w:rPr>
              <w:t>据此完成下面小题。</w:t>
            </w:r>
          </w:p>
        </w:tc>
        <w:tc>
          <w:tcPr>
            <w:tcW w:w="4981" w:type="dxa"/>
          </w:tcPr>
          <w:p>
            <w:pPr>
              <w:bidi w:val="0"/>
            </w:pPr>
            <w:r>
              <w:rPr>
                <w:color w:val="000000"/>
              </w:rPr>
              <w:drawing>
                <wp:inline distT="0" distB="0" distL="114300" distR="114300">
                  <wp:extent cx="3750945" cy="2049780"/>
                  <wp:effectExtent l="0" t="0" r="1905" b="762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3750945" cy="2049780"/>
                          </a:xfrm>
                          <a:prstGeom prst="rect">
                            <a:avLst/>
                          </a:prstGeom>
                        </pic:spPr>
                      </pic:pic>
                    </a:graphicData>
                  </a:graphic>
                </wp:inline>
              </w:drawing>
            </w:r>
          </w:p>
        </w:tc>
      </w:tr>
    </w:tbl>
    <w:p>
      <w:pPr>
        <w:bidi w:val="0"/>
      </w:pPr>
      <w:r>
        <w:t>15. 图中最可能形成冰雹的位置是（   ）</w:t>
      </w:r>
    </w:p>
    <w:p>
      <w:pPr>
        <w:pStyle w:val="13"/>
        <w:bidi w:val="0"/>
      </w:pPr>
      <w:r>
        <w:t>A. 甲</w:t>
      </w:r>
      <w:r>
        <w:tab/>
      </w:r>
      <w:r>
        <w:rPr>
          <w:rFonts w:hint="eastAsia"/>
          <w:lang w:val="en-US" w:eastAsia="zh-CN"/>
        </w:rPr>
        <w:tab/>
      </w:r>
      <w:r>
        <w:t>B. 乙</w:t>
      </w:r>
    </w:p>
    <w:p>
      <w:pPr>
        <w:pStyle w:val="13"/>
        <w:bidi w:val="0"/>
      </w:pPr>
      <w:r>
        <w:t>C. 丙</w:t>
      </w:r>
      <w:r>
        <w:tab/>
      </w:r>
      <w:r>
        <w:rPr>
          <w:rFonts w:hint="eastAsia"/>
          <w:lang w:val="en-US" w:eastAsia="zh-CN"/>
        </w:rPr>
        <w:tab/>
      </w:r>
      <w:r>
        <w:t>D. 丁</w:t>
      </w:r>
    </w:p>
    <w:p>
      <w:pPr>
        <w:bidi w:val="0"/>
      </w:pPr>
      <w:r>
        <w:t>16. 最易形成冰雹</w:t>
      </w:r>
      <w:r>
        <w:rPr>
          <w:rFonts w:hint="eastAsia"/>
          <w:lang w:val="en-US" w:eastAsia="zh-CN"/>
        </w:rPr>
        <w:t>的</w:t>
      </w:r>
      <w:r>
        <w:t>大气条件是（   ）</w:t>
      </w:r>
    </w:p>
    <w:p>
      <w:pPr>
        <w:pStyle w:val="13"/>
        <w:bidi w:val="0"/>
      </w:pPr>
      <w:r>
        <w:t>A. 低层辐散高层辐合</w:t>
      </w:r>
      <w:r>
        <w:tab/>
      </w:r>
      <w:r>
        <w:t>B. 上干下湿</w:t>
      </w:r>
    </w:p>
    <w:p>
      <w:pPr>
        <w:pStyle w:val="13"/>
        <w:bidi w:val="0"/>
      </w:pPr>
      <w:r>
        <w:t>C. 近地面气温低于0℃</w:t>
      </w:r>
      <w:r>
        <w:tab/>
      </w:r>
      <w:r>
        <w:t>D. 上暖下冷</w:t>
      </w:r>
    </w:p>
    <w:p>
      <w:pPr>
        <w:pStyle w:val="17"/>
        <w:bidi w:val="0"/>
      </w:pPr>
      <w:r>
        <w:t>二、非选择题：本题共3小题，共52分。</w:t>
      </w:r>
    </w:p>
    <w:p>
      <w:pPr>
        <w:spacing w:line="360" w:lineRule="auto"/>
        <w:jc w:val="left"/>
        <w:textAlignment w:val="center"/>
        <w:rPr>
          <w:rFonts w:hint="eastAsia" w:eastAsia="宋体"/>
          <w:color w:val="000000"/>
          <w:lang w:eastAsia="zh-CN"/>
        </w:rPr>
      </w:pPr>
      <w:r>
        <w:rPr>
          <w:color w:val="000000"/>
        </w:rPr>
        <w:t xml:space="preserve">17. </w:t>
      </w:r>
      <w:r>
        <w:rPr>
          <w:rFonts w:ascii="宋体" w:hAnsi="宋体" w:eastAsia="宋体" w:cs="宋体"/>
          <w:color w:val="000000"/>
        </w:rPr>
        <w:t>阅读材料，按要求作答。</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18分</w:t>
      </w:r>
      <w:r>
        <w:rPr>
          <w:rFonts w:hint="default" w:ascii="Times New Roman" w:hAnsi="Times New Roman" w:cs="Times New Roman"/>
          <w:color w:val="000000"/>
          <w:lang w:eastAsia="zh-CN"/>
        </w:rPr>
        <w:t>）</w:t>
      </w:r>
    </w:p>
    <w:p>
      <w:pPr>
        <w:pStyle w:val="4"/>
        <w:bidi w:val="0"/>
      </w:pPr>
      <w:r>
        <w:t>为探索现代农业可持续发展之路，2009年以来，在高校、企业以及政府的协作带动下，全国陆续建成1800多家科技小院。科技小院常驻生产地，科研人员在田间地头进行科学研究和技术推广，帮助农民解决实际问题。近年来，相关企业通过组织全国科技强农创新大赛、完善优质农产品供销体系等措施促进科技小院科研成果转化，助力乡村振兴。四川省丹棱县是我国最大的桔橙生产地之一，在丹棱桔橙科技小院及相关企业的助力下，所产桔橙品质更加优良、稳定，农业效益及可持续发展能力显著提高。下图示意丹棱县位置。</w:t>
      </w:r>
    </w:p>
    <w:p>
      <w:pPr>
        <w:spacing w:line="360" w:lineRule="auto"/>
        <w:jc w:val="center"/>
        <w:textAlignment w:val="center"/>
        <w:rPr>
          <w:color w:val="000000"/>
        </w:rPr>
      </w:pPr>
      <w:r>
        <w:rPr>
          <w:color w:val="000000"/>
        </w:rPr>
        <w:drawing>
          <wp:inline distT="0" distB="0" distL="114300" distR="114300">
            <wp:extent cx="3790950" cy="155257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3790950" cy="1552575"/>
                    </a:xfrm>
                    <a:prstGeom prst="rect">
                      <a:avLst/>
                    </a:prstGeom>
                  </pic:spPr>
                </pic:pic>
              </a:graphicData>
            </a:graphic>
          </wp:inline>
        </w:drawing>
      </w:r>
    </w:p>
    <w:p>
      <w:pPr>
        <w:bidi w:val="0"/>
      </w:pPr>
      <w:r>
        <w:t>（1）简析丹棱县桔橙品质稳定的原因。</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bidi w:val="0"/>
      </w:pPr>
    </w:p>
    <w:p>
      <w:pPr>
        <w:bidi w:val="0"/>
      </w:pPr>
    </w:p>
    <w:p>
      <w:pPr>
        <w:bidi w:val="0"/>
      </w:pPr>
    </w:p>
    <w:p>
      <w:pPr>
        <w:bidi w:val="0"/>
      </w:pPr>
    </w:p>
    <w:p>
      <w:pPr>
        <w:bidi w:val="0"/>
      </w:pPr>
      <w:r>
        <w:t>（2）说明科技小院常驻生产地对其技术推广的益处。</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bidi w:val="0"/>
      </w:pPr>
    </w:p>
    <w:p>
      <w:pPr>
        <w:bidi w:val="0"/>
      </w:pPr>
    </w:p>
    <w:p>
      <w:pPr>
        <w:bidi w:val="0"/>
      </w:pPr>
    </w:p>
    <w:p>
      <w:pPr>
        <w:bidi w:val="0"/>
      </w:pPr>
    </w:p>
    <w:p>
      <w:pPr>
        <w:bidi w:val="0"/>
      </w:pPr>
      <w:r>
        <w:t>（3）分析企业组织科技强农创新大赛、完善优质农产品供销体系对促进农业可持续发展的作用。</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bidi w:val="0"/>
      </w:pPr>
    </w:p>
    <w:p>
      <w:pPr>
        <w:bidi w:val="0"/>
      </w:pPr>
    </w:p>
    <w:p>
      <w:pPr>
        <w:bidi w:val="0"/>
      </w:pPr>
    </w:p>
    <w:p>
      <w:pPr>
        <w:bidi w:val="0"/>
      </w:pPr>
    </w:p>
    <w:p>
      <w:pPr>
        <w:bidi w:val="0"/>
      </w:pPr>
      <w:r>
        <w:t>18. 阅读材料，按要求作答。</w:t>
      </w:r>
      <w:r>
        <w:rPr>
          <w:rFonts w:hint="default" w:ascii="Times New Roman" w:hAnsi="Times New Roman" w:cs="Times New Roman"/>
          <w:color w:val="000000"/>
          <w:lang w:eastAsia="zh-CN"/>
        </w:rPr>
        <w:t>（</w:t>
      </w:r>
      <w:r>
        <w:rPr>
          <w:rFonts w:hint="eastAsia" w:cs="Times New Roman"/>
          <w:color w:val="000000"/>
          <w:lang w:val="en-US" w:eastAsia="zh-CN"/>
        </w:rPr>
        <w:t>18</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pStyle w:val="4"/>
        <w:bidi w:val="0"/>
      </w:pPr>
      <w:r>
        <w:t>我国西南喀斯特山区地表蓄水能力通常较弱，水资源利用率较低（水资源利用率是区域用水量在水资源可利用总量中的占比）。图1示意某地喀斯特地貌剖面及降雨径流过程，图2示意该地区地下河出口处某时段实测降雨及径流响应的两种模拟曲线。</w:t>
      </w:r>
    </w:p>
    <w:p>
      <w:pPr>
        <w:spacing w:line="360" w:lineRule="auto"/>
        <w:jc w:val="center"/>
        <w:textAlignment w:val="center"/>
        <w:rPr>
          <w:color w:val="000000"/>
        </w:rPr>
      </w:pPr>
      <w:r>
        <w:rPr>
          <w:color w:val="000000"/>
        </w:rPr>
        <w:drawing>
          <wp:inline distT="0" distB="0" distL="114300" distR="114300">
            <wp:extent cx="2835910" cy="1639570"/>
            <wp:effectExtent l="0" t="0" r="2540" b="1778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2835910" cy="1639570"/>
                    </a:xfrm>
                    <a:prstGeom prst="rect">
                      <a:avLst/>
                    </a:prstGeom>
                  </pic:spPr>
                </pic:pic>
              </a:graphicData>
            </a:graphic>
          </wp:inline>
        </w:drawing>
      </w:r>
      <w:r>
        <w:rPr>
          <w:color w:val="000000"/>
        </w:rPr>
        <w:t xml:space="preserve">  </w:t>
      </w:r>
      <w:r>
        <w:rPr>
          <w:color w:val="000000"/>
        </w:rPr>
        <w:drawing>
          <wp:inline distT="0" distB="0" distL="114300" distR="114300">
            <wp:extent cx="2472690" cy="1863090"/>
            <wp:effectExtent l="0" t="0" r="3810" b="381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2472690" cy="1863090"/>
                    </a:xfrm>
                    <a:prstGeom prst="rect">
                      <a:avLst/>
                    </a:prstGeom>
                  </pic:spPr>
                </pic:pic>
              </a:graphicData>
            </a:graphic>
          </wp:inline>
        </w:drawing>
      </w:r>
    </w:p>
    <w:p>
      <w:pPr>
        <w:bidi w:val="0"/>
      </w:pPr>
      <w:r>
        <w:t>（1）指出图2中更符合流量实测情况的曲线并说明理由。</w:t>
      </w:r>
      <w:r>
        <w:rPr>
          <w:rFonts w:hint="default" w:ascii="Times New Roman" w:hAnsi="Times New Roman" w:cs="Times New Roman"/>
          <w:color w:val="000000"/>
          <w:lang w:eastAsia="zh-CN"/>
        </w:rPr>
        <w:t>（</w:t>
      </w:r>
      <w:r>
        <w:rPr>
          <w:rFonts w:hint="eastAsia" w:cs="Times New Roman"/>
          <w:color w:val="000000"/>
          <w:lang w:val="en-US" w:eastAsia="zh-CN"/>
        </w:rPr>
        <w:t>8</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bookmarkStart w:id="1" w:name="_GoBack"/>
      <w:bookmarkEnd w:id="1"/>
    </w:p>
    <w:p>
      <w:pPr>
        <w:bidi w:val="0"/>
      </w:pPr>
    </w:p>
    <w:p>
      <w:pPr>
        <w:bidi w:val="0"/>
      </w:pPr>
    </w:p>
    <w:p>
      <w:pPr>
        <w:bidi w:val="0"/>
      </w:pPr>
    </w:p>
    <w:p>
      <w:pPr>
        <w:bidi w:val="0"/>
      </w:pPr>
    </w:p>
    <w:p>
      <w:pPr>
        <w:bidi w:val="0"/>
      </w:pPr>
    </w:p>
    <w:p>
      <w:pPr>
        <w:bidi w:val="0"/>
      </w:pPr>
    </w:p>
    <w:p>
      <w:pPr>
        <w:bidi w:val="0"/>
      </w:pPr>
      <w:r>
        <w:t>（2）分析该区域地表蓄水能力弱的原因。</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bidi w:val="0"/>
      </w:pPr>
    </w:p>
    <w:p>
      <w:pPr>
        <w:bidi w:val="0"/>
      </w:pPr>
    </w:p>
    <w:p>
      <w:pPr>
        <w:bidi w:val="0"/>
      </w:pPr>
    </w:p>
    <w:p>
      <w:pPr>
        <w:bidi w:val="0"/>
      </w:pPr>
    </w:p>
    <w:p>
      <w:pPr>
        <w:bidi w:val="0"/>
      </w:pPr>
    </w:p>
    <w:p>
      <w:pPr>
        <w:bidi w:val="0"/>
      </w:pPr>
    </w:p>
    <w:p>
      <w:pPr>
        <w:bidi w:val="0"/>
      </w:pPr>
    </w:p>
    <w:p>
      <w:pPr>
        <w:bidi w:val="0"/>
      </w:pPr>
      <w:r>
        <w:t>（3）从资源开发的角度，提出喀斯特山区提高水资源利用率的措施。</w:t>
      </w:r>
      <w:r>
        <w:rPr>
          <w:rFonts w:hint="default" w:ascii="Times New Roman" w:hAnsi="Times New Roman" w:cs="Times New Roman"/>
          <w:color w:val="000000"/>
          <w:lang w:eastAsia="zh-CN"/>
        </w:rPr>
        <w:t>（</w:t>
      </w:r>
      <w:r>
        <w:rPr>
          <w:rFonts w:hint="eastAsia" w:cs="Times New Roman"/>
          <w:color w:val="000000"/>
          <w:lang w:val="en-US" w:eastAsia="zh-CN"/>
        </w:rPr>
        <w:t>4</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bidi w:val="0"/>
      </w:pPr>
    </w:p>
    <w:p>
      <w:pPr>
        <w:bidi w:val="0"/>
      </w:pPr>
    </w:p>
    <w:p>
      <w:pPr>
        <w:bidi w:val="0"/>
      </w:pPr>
    </w:p>
    <w:p>
      <w:pPr>
        <w:bidi w:val="0"/>
      </w:pPr>
    </w:p>
    <w:p>
      <w:pPr>
        <w:bidi w:val="0"/>
      </w:pPr>
    </w:p>
    <w:p>
      <w:pPr>
        <w:spacing w:line="360" w:lineRule="auto"/>
        <w:jc w:val="left"/>
        <w:textAlignment w:val="center"/>
        <w:rPr>
          <w:color w:val="000000"/>
        </w:rPr>
      </w:pPr>
      <w:r>
        <w:rPr>
          <w:color w:val="000000"/>
        </w:rPr>
        <w:t xml:space="preserve">19. </w:t>
      </w:r>
      <w:r>
        <w:rPr>
          <w:rFonts w:ascii="宋体" w:hAnsi="宋体" w:eastAsia="宋体" w:cs="宋体"/>
          <w:color w:val="000000"/>
        </w:rPr>
        <w:t>阅读材料，按要求作答。</w:t>
      </w:r>
      <w:r>
        <w:rPr>
          <w:rFonts w:hint="default" w:ascii="Times New Roman" w:hAnsi="Times New Roman" w:cs="Times New Roman"/>
          <w:color w:val="000000"/>
          <w:lang w:eastAsia="zh-CN"/>
        </w:rPr>
        <w:t>（</w:t>
      </w:r>
      <w:r>
        <w:rPr>
          <w:rFonts w:hint="eastAsia" w:cs="Times New Roman"/>
          <w:color w:val="000000"/>
          <w:lang w:val="en-US" w:eastAsia="zh-CN"/>
        </w:rPr>
        <w:t>16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pStyle w:val="4"/>
        <w:bidi w:val="0"/>
      </w:pPr>
      <w:r>
        <w:t>甲烷是大气中主要的温室气体之一。三沙湾是福建省重要的水产养殖区，从河口向海依次为河口养殖区、中部限养区、湾口养殖区。该区域通过水面释放的甲烷主要来源于缺氧条件下水体和沉积物中有机物的降解，其释放量主要受陆源径流输入、温度、投饵量等因素的影响。下图为2023年三沙湾表层水体甲烷释放量的时空变化。</w:t>
      </w:r>
    </w:p>
    <w:p>
      <w:pPr>
        <w:spacing w:line="360" w:lineRule="auto"/>
        <w:jc w:val="center"/>
        <w:textAlignment w:val="center"/>
        <w:rPr>
          <w:color w:val="000000"/>
        </w:rPr>
      </w:pPr>
      <w:r>
        <w:rPr>
          <w:color w:val="000000"/>
        </w:rPr>
        <w:drawing>
          <wp:inline distT="0" distB="0" distL="114300" distR="114300">
            <wp:extent cx="3074035" cy="1820545"/>
            <wp:effectExtent l="0" t="0" r="12065" b="825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3074035" cy="1820545"/>
                    </a:xfrm>
                    <a:prstGeom prst="rect">
                      <a:avLst/>
                    </a:prstGeom>
                  </pic:spPr>
                </pic:pic>
              </a:graphicData>
            </a:graphic>
          </wp:inline>
        </w:drawing>
      </w:r>
    </w:p>
    <w:p>
      <w:pPr>
        <w:bidi w:val="0"/>
      </w:pPr>
      <w:r>
        <w:t>（1）归纳三沙湾海域表层水体甲烷释放量的时空变化特征。</w:t>
      </w:r>
      <w:r>
        <w:rPr>
          <w:rFonts w:hint="default" w:ascii="Times New Roman" w:hAnsi="Times New Roman" w:cs="Times New Roman"/>
          <w:color w:val="000000"/>
          <w:lang w:eastAsia="zh-CN"/>
        </w:rPr>
        <w:t>（</w:t>
      </w:r>
      <w:r>
        <w:rPr>
          <w:rFonts w:hint="eastAsia" w:cs="Times New Roman"/>
          <w:color w:val="000000"/>
          <w:lang w:val="en-US" w:eastAsia="zh-CN"/>
        </w:rPr>
        <w:t>4</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bidi w:val="0"/>
      </w:pPr>
    </w:p>
    <w:p>
      <w:pPr>
        <w:bidi w:val="0"/>
      </w:pPr>
    </w:p>
    <w:p>
      <w:pPr>
        <w:bidi w:val="0"/>
      </w:pPr>
    </w:p>
    <w:p>
      <w:pPr>
        <w:bidi w:val="0"/>
      </w:pPr>
    </w:p>
    <w:p>
      <w:pPr>
        <w:bidi w:val="0"/>
      </w:pPr>
    </w:p>
    <w:p>
      <w:pPr>
        <w:bidi w:val="0"/>
      </w:pPr>
      <w:r>
        <w:t>（2）分析影响河口养殖区夏季甲烷释放量的主要原因。</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bidi w:val="0"/>
      </w:pPr>
    </w:p>
    <w:p>
      <w:pPr>
        <w:bidi w:val="0"/>
      </w:pPr>
    </w:p>
    <w:p>
      <w:pPr>
        <w:bidi w:val="0"/>
      </w:pPr>
    </w:p>
    <w:p>
      <w:pPr>
        <w:bidi w:val="0"/>
      </w:pPr>
    </w:p>
    <w:p>
      <w:pPr>
        <w:bidi w:val="0"/>
      </w:pPr>
    </w:p>
    <w:p>
      <w:pPr>
        <w:bidi w:val="0"/>
      </w:pPr>
      <w:r>
        <w:t>（3）为三沙湾低碳养殖提出合理建议。</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pPr>
    </w:p>
    <w:p>
      <w:pPr>
        <w:rPr>
          <w:rFonts w:hint="eastAsia"/>
          <w:lang w:val="en-US" w:eastAsia="zh-CN"/>
        </w:rPr>
      </w:pPr>
    </w:p>
    <w:sectPr>
      <w:headerReference r:id="rId5" w:type="default"/>
      <w:footerReference r:id="rId6" w:type="default"/>
      <w:pgSz w:w="11906" w:h="16838"/>
      <w:pgMar w:top="1440" w:right="1080" w:bottom="1440" w:left="1080" w:header="851" w:footer="680"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10" w:usb3="00000000" w:csb0="00040000" w:csb1="00000000"/>
  </w:font>
  <w:font w:name="方正小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hd w:val="clear"/>
      <w:jc w:val="center"/>
      <w:rPr>
        <w:rFonts w:hint="default" w:eastAsia="宋体"/>
        <w:color w:val="auto"/>
        <w:sz w:val="20"/>
        <w:szCs w:val="20"/>
        <w:highlight w:val="none"/>
        <w:shd w:val="clear"/>
        <w:lang w:val="en-US" w:eastAsia="zh-CN"/>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r>
      <w:rPr>
        <w:color w:val="auto"/>
        <w:sz w:val="20"/>
        <w:szCs w:val="20"/>
        <w:highlight w:val="none"/>
        <w:shd w:val="clear"/>
      </w:rPr>
      <w:pict>
        <v:shape id="_x0000_s4098" o:spid="_x0000_s4098"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auto"/>
        <w:sz w:val="20"/>
        <w:szCs w:val="20"/>
        <w:highlight w:val="none"/>
        <w:shd w:val="clear"/>
      </w:rPr>
      <w:drawing>
        <wp:anchor distT="0" distB="0" distL="114300" distR="114300" simplePos="0" relativeHeight="25166336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tabs>
        <w:tab w:val="clear" w:pos="4153"/>
        <w:tab w:val="clear" w:pos="8306"/>
      </w:tabs>
      <w:jc w:val="both"/>
      <w:rPr>
        <w:rFonts w:hint="eastAsia" w:eastAsia="宋体"/>
        <w:sz w:val="2"/>
        <w:szCs w:val="2"/>
        <w:lang w:val="en-US" w:eastAsia="zh-CN"/>
      </w:rPr>
    </w:pPr>
    <w:r>
      <w:rPr>
        <w:sz w:val="18"/>
        <w:szCs w:val="21"/>
      </w:rPr>
      <w:drawing>
        <wp:anchor distT="0" distB="0" distL="114300" distR="114300" simplePos="0" relativeHeight="251661312"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embedSystemFonts/>
  <w:bordersDoNotSurroundHeader w:val="0"/>
  <w:bordersDoNotSurroundFooter w:val="0"/>
  <w:attachedTemplate r:id="rId1"/>
  <w:documentProtection w:enforcement="0"/>
  <w:defaultTabStop w:val="559"/>
  <w:drawingGridVerticalSpacing w:val="159"/>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M2Q1OGRmNDEwODQwZDFkZjY2MTgzYTVjMWRlYmIifQ=="/>
  </w:docVars>
  <w:rsids>
    <w:rsidRoot w:val="38653AA8"/>
    <w:rsid w:val="00271769"/>
    <w:rsid w:val="02125874"/>
    <w:rsid w:val="02511125"/>
    <w:rsid w:val="02E85F2F"/>
    <w:rsid w:val="02EF11E0"/>
    <w:rsid w:val="0308532E"/>
    <w:rsid w:val="03314D1D"/>
    <w:rsid w:val="0351647B"/>
    <w:rsid w:val="03823875"/>
    <w:rsid w:val="04200531"/>
    <w:rsid w:val="043517C8"/>
    <w:rsid w:val="044F06A2"/>
    <w:rsid w:val="05E07B33"/>
    <w:rsid w:val="06606BAA"/>
    <w:rsid w:val="06AC1E21"/>
    <w:rsid w:val="07C81BD2"/>
    <w:rsid w:val="085665DD"/>
    <w:rsid w:val="08F55C55"/>
    <w:rsid w:val="09795ED8"/>
    <w:rsid w:val="0A5719F4"/>
    <w:rsid w:val="0BF710B6"/>
    <w:rsid w:val="0CA27F6D"/>
    <w:rsid w:val="0DF235C6"/>
    <w:rsid w:val="117A1FB8"/>
    <w:rsid w:val="13560820"/>
    <w:rsid w:val="14245808"/>
    <w:rsid w:val="1425661F"/>
    <w:rsid w:val="151051AD"/>
    <w:rsid w:val="151505A6"/>
    <w:rsid w:val="15651EC7"/>
    <w:rsid w:val="15DC4AEB"/>
    <w:rsid w:val="16F77687"/>
    <w:rsid w:val="17AD6705"/>
    <w:rsid w:val="18627B26"/>
    <w:rsid w:val="19792817"/>
    <w:rsid w:val="19A726F3"/>
    <w:rsid w:val="1AD414AE"/>
    <w:rsid w:val="1B134E31"/>
    <w:rsid w:val="1B2B697D"/>
    <w:rsid w:val="1BEF4845"/>
    <w:rsid w:val="1BFA2B94"/>
    <w:rsid w:val="1C4A593A"/>
    <w:rsid w:val="1C7424BB"/>
    <w:rsid w:val="1CF850DA"/>
    <w:rsid w:val="1E311151"/>
    <w:rsid w:val="1F822FAC"/>
    <w:rsid w:val="1F915A1E"/>
    <w:rsid w:val="1FC35144"/>
    <w:rsid w:val="21DF0DA7"/>
    <w:rsid w:val="21FB1FC8"/>
    <w:rsid w:val="22861EE6"/>
    <w:rsid w:val="23FE3C48"/>
    <w:rsid w:val="244C6AA5"/>
    <w:rsid w:val="24817E00"/>
    <w:rsid w:val="24DF3003"/>
    <w:rsid w:val="258A03E5"/>
    <w:rsid w:val="284D302B"/>
    <w:rsid w:val="286046C0"/>
    <w:rsid w:val="290D009F"/>
    <w:rsid w:val="29225C20"/>
    <w:rsid w:val="2A952A67"/>
    <w:rsid w:val="2B405F6E"/>
    <w:rsid w:val="2CFE1C64"/>
    <w:rsid w:val="2D6362A8"/>
    <w:rsid w:val="2DBC0049"/>
    <w:rsid w:val="2E8C25FF"/>
    <w:rsid w:val="2E991DFC"/>
    <w:rsid w:val="2F0B703D"/>
    <w:rsid w:val="2F6778F2"/>
    <w:rsid w:val="2FD92D9A"/>
    <w:rsid w:val="307D027D"/>
    <w:rsid w:val="326F5A60"/>
    <w:rsid w:val="331C222E"/>
    <w:rsid w:val="33EC3729"/>
    <w:rsid w:val="34446172"/>
    <w:rsid w:val="35A94E4B"/>
    <w:rsid w:val="35B4432A"/>
    <w:rsid w:val="37664296"/>
    <w:rsid w:val="37983F40"/>
    <w:rsid w:val="38415FDC"/>
    <w:rsid w:val="38653AA8"/>
    <w:rsid w:val="396B39B6"/>
    <w:rsid w:val="3A260894"/>
    <w:rsid w:val="3A475A45"/>
    <w:rsid w:val="3ACC4C05"/>
    <w:rsid w:val="3B8D1268"/>
    <w:rsid w:val="3BF24643"/>
    <w:rsid w:val="3C9C799F"/>
    <w:rsid w:val="3EB137F4"/>
    <w:rsid w:val="3ED021CA"/>
    <w:rsid w:val="407F713A"/>
    <w:rsid w:val="40FA1332"/>
    <w:rsid w:val="43E56550"/>
    <w:rsid w:val="4434679C"/>
    <w:rsid w:val="445C3320"/>
    <w:rsid w:val="45421516"/>
    <w:rsid w:val="46D54976"/>
    <w:rsid w:val="474B65C4"/>
    <w:rsid w:val="476139C9"/>
    <w:rsid w:val="47955E77"/>
    <w:rsid w:val="47A540B8"/>
    <w:rsid w:val="47C94F01"/>
    <w:rsid w:val="48261766"/>
    <w:rsid w:val="48B91CF5"/>
    <w:rsid w:val="49335181"/>
    <w:rsid w:val="495C6E3B"/>
    <w:rsid w:val="4996580B"/>
    <w:rsid w:val="499F46D9"/>
    <w:rsid w:val="4A0B5F87"/>
    <w:rsid w:val="4A4534F8"/>
    <w:rsid w:val="4B240D58"/>
    <w:rsid w:val="4B316775"/>
    <w:rsid w:val="4C1F27D1"/>
    <w:rsid w:val="4C712B5E"/>
    <w:rsid w:val="4C7D7706"/>
    <w:rsid w:val="4CE25BB7"/>
    <w:rsid w:val="4D0D48C2"/>
    <w:rsid w:val="4D4114BC"/>
    <w:rsid w:val="4DC1315C"/>
    <w:rsid w:val="507C2A18"/>
    <w:rsid w:val="509760BC"/>
    <w:rsid w:val="52644CEB"/>
    <w:rsid w:val="528F513F"/>
    <w:rsid w:val="52907E88"/>
    <w:rsid w:val="530D4FE1"/>
    <w:rsid w:val="535237B6"/>
    <w:rsid w:val="54715AFF"/>
    <w:rsid w:val="54982C54"/>
    <w:rsid w:val="553C21CE"/>
    <w:rsid w:val="55A9315C"/>
    <w:rsid w:val="5615572F"/>
    <w:rsid w:val="5772462D"/>
    <w:rsid w:val="584032C1"/>
    <w:rsid w:val="5A6428FD"/>
    <w:rsid w:val="5B3F3078"/>
    <w:rsid w:val="5B9104C7"/>
    <w:rsid w:val="5C2F6C8E"/>
    <w:rsid w:val="5CE47FB1"/>
    <w:rsid w:val="5F1B3002"/>
    <w:rsid w:val="5FAC7002"/>
    <w:rsid w:val="5FDC33D5"/>
    <w:rsid w:val="60BE4D86"/>
    <w:rsid w:val="60C1494C"/>
    <w:rsid w:val="61B00EBF"/>
    <w:rsid w:val="61B1667A"/>
    <w:rsid w:val="623161EC"/>
    <w:rsid w:val="62774F17"/>
    <w:rsid w:val="62AA49F4"/>
    <w:rsid w:val="62D97141"/>
    <w:rsid w:val="62E50DCE"/>
    <w:rsid w:val="65D2447B"/>
    <w:rsid w:val="65DA7B27"/>
    <w:rsid w:val="66811B16"/>
    <w:rsid w:val="66D37748"/>
    <w:rsid w:val="67EE3F38"/>
    <w:rsid w:val="68BF65E6"/>
    <w:rsid w:val="68F7287C"/>
    <w:rsid w:val="69761282"/>
    <w:rsid w:val="6A727EA8"/>
    <w:rsid w:val="6AC53A8A"/>
    <w:rsid w:val="6C4F025D"/>
    <w:rsid w:val="6E3E026B"/>
    <w:rsid w:val="6E7754A3"/>
    <w:rsid w:val="6EF130D7"/>
    <w:rsid w:val="6EF7549B"/>
    <w:rsid w:val="6F802D90"/>
    <w:rsid w:val="6F896C52"/>
    <w:rsid w:val="6FBF058B"/>
    <w:rsid w:val="70493C15"/>
    <w:rsid w:val="70D57E48"/>
    <w:rsid w:val="711279E6"/>
    <w:rsid w:val="711E7495"/>
    <w:rsid w:val="71533BDA"/>
    <w:rsid w:val="718C5BAF"/>
    <w:rsid w:val="73C81496"/>
    <w:rsid w:val="74BD7729"/>
    <w:rsid w:val="767859D3"/>
    <w:rsid w:val="76BF3A84"/>
    <w:rsid w:val="77226D00"/>
    <w:rsid w:val="776D1464"/>
    <w:rsid w:val="777C7BE6"/>
    <w:rsid w:val="7836450F"/>
    <w:rsid w:val="786A5025"/>
    <w:rsid w:val="79F44131"/>
    <w:rsid w:val="7A4B208E"/>
    <w:rsid w:val="7B5B4ACF"/>
    <w:rsid w:val="7B6D01CD"/>
    <w:rsid w:val="7BB70DC8"/>
    <w:rsid w:val="7C402716"/>
    <w:rsid w:val="7CDC37AE"/>
    <w:rsid w:val="7D157D55"/>
    <w:rsid w:val="7D91669E"/>
    <w:rsid w:val="7DF62E4B"/>
    <w:rsid w:val="7F8D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Arial" w:hAnsi="Arial"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jc w:val="center"/>
      <w:outlineLvl w:val="1"/>
    </w:pPr>
    <w:rPr>
      <w:rFonts w:ascii="Times New Roman" w:hAnsi="Times New Roman" w:eastAsia="宋体"/>
      <w:b/>
      <w:sz w:val="24"/>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link w:val="14"/>
    <w:qFormat/>
    <w:uiPriority w:val="0"/>
    <w:pPr>
      <w:kinsoku/>
      <w:overflowPunct w:val="0"/>
      <w:spacing w:line="360" w:lineRule="auto"/>
      <w:ind w:firstLine="562" w:firstLineChars="200"/>
    </w:pPr>
    <w:rPr>
      <w:rFonts w:eastAsia="楷体"/>
    </w:rPr>
  </w:style>
  <w:style w:type="paragraph" w:styleId="5">
    <w:name w:val="Plain Text"/>
    <w:basedOn w:val="1"/>
    <w:qFormat/>
    <w:uiPriority w:val="0"/>
    <w:rPr>
      <w:rFonts w:ascii="宋体" w:hAnsi="Courier New" w:eastAsia="宋体" w:cs="Courier New"/>
      <w:szCs w:val="21"/>
    </w:rPr>
  </w:style>
  <w:style w:type="paragraph" w:styleId="6">
    <w:name w:val="footer"/>
    <w:basedOn w:val="1"/>
    <w:qFormat/>
    <w:uiPriority w:val="0"/>
    <w:pPr>
      <w:tabs>
        <w:tab w:val="center" w:pos="4153"/>
        <w:tab w:val="right" w:pos="8306"/>
      </w:tabs>
      <w:snapToGrid w:val="0"/>
      <w:jc w:val="left"/>
    </w:pPr>
    <w:rPr>
      <w:rFonts w:ascii="Times New Roman" w:hAnsi="Times New Roman" w:eastAsia="宋体"/>
      <w:sz w:val="24"/>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eastAsia="宋体"/>
      <w:sz w:val="18"/>
    </w:rPr>
  </w:style>
  <w:style w:type="paragraph" w:styleId="8">
    <w:name w:val="toc 1"/>
    <w:basedOn w:val="1"/>
    <w:next w:val="1"/>
    <w:qFormat/>
    <w:uiPriority w:val="0"/>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选项"/>
    <w:basedOn w:val="1"/>
    <w:link w:val="22"/>
    <w:qFormat/>
    <w:uiPriority w:val="0"/>
    <w:pPr>
      <w:widowControl w:val="0"/>
      <w:shd w:val="clear" w:color="auto" w:fill="auto"/>
      <w:tabs>
        <w:tab w:val="left" w:pos="263"/>
        <w:tab w:val="left" w:pos="2573"/>
        <w:tab w:val="left" w:pos="5093"/>
        <w:tab w:val="left" w:pos="7613"/>
      </w:tabs>
      <w:kinsoku/>
      <w:autoSpaceDE/>
      <w:autoSpaceDN/>
      <w:adjustRightInd w:val="0"/>
      <w:snapToGrid w:val="0"/>
      <w:spacing w:after="0" w:line="360" w:lineRule="auto"/>
      <w:ind w:left="612" w:hanging="306"/>
      <w:textAlignment w:val="center"/>
    </w:pPr>
    <w:rPr>
      <w:rFonts w:cs="Times New Roman"/>
      <w:snapToGrid/>
      <w:kern w:val="2"/>
      <w:szCs w:val="20"/>
      <w:lang w:eastAsia="zh-CN"/>
    </w:rPr>
  </w:style>
  <w:style w:type="character" w:customStyle="1" w:styleId="14">
    <w:name w:val="正文文本 Char"/>
    <w:link w:val="4"/>
    <w:qFormat/>
    <w:uiPriority w:val="0"/>
    <w:rPr>
      <w:rFonts w:eastAsia="楷体"/>
      <w:sz w:val="24"/>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No Spacing"/>
    <w:qFormat/>
    <w:uiPriority w:val="0"/>
    <w:rPr>
      <w:rFonts w:ascii="NEU-BZ-S92" w:hAnsi="NEU-BZ-S92" w:eastAsia="方正书宋_GBK" w:cs="Times New Roman"/>
      <w:color w:val="000000"/>
      <w:sz w:val="18"/>
      <w:szCs w:val="22"/>
      <w:lang w:val="en-US" w:eastAsia="zh-CN" w:bidi="ar-SA"/>
    </w:rPr>
  </w:style>
  <w:style w:type="paragraph" w:customStyle="1" w:styleId="17">
    <w:name w:val="题型标题"/>
    <w:basedOn w:val="1"/>
    <w:qFormat/>
    <w:uiPriority w:val="0"/>
    <w:pPr>
      <w:wordWrap w:val="0"/>
      <w:spacing w:line="240" w:lineRule="auto"/>
    </w:pPr>
    <w:rPr>
      <w:rFonts w:hint="eastAsia" w:ascii="黑体" w:hAnsi="黑体" w:eastAsia="黑体" w:cs="黑体"/>
      <w:sz w:val="28"/>
      <w:szCs w:val="20"/>
    </w:rPr>
  </w:style>
  <w:style w:type="paragraph" w:customStyle="1" w:styleId="18">
    <w:name w:val="考试名称"/>
    <w:basedOn w:val="1"/>
    <w:qFormat/>
    <w:uiPriority w:val="0"/>
    <w:pPr>
      <w:spacing w:line="240" w:lineRule="auto"/>
      <w:ind w:firstLine="0" w:firstLineChars="0"/>
      <w:jc w:val="center"/>
    </w:pPr>
    <w:rPr>
      <w:rFonts w:ascii="Times New Roman" w:hAnsi="Times New Roman" w:eastAsia="宋体"/>
      <w:sz w:val="36"/>
      <w:szCs w:val="28"/>
      <w:lang w:eastAsia="zh-CN"/>
    </w:rPr>
  </w:style>
  <w:style w:type="paragraph" w:customStyle="1" w:styleId="19">
    <w:name w:val="科目名称"/>
    <w:basedOn w:val="1"/>
    <w:qFormat/>
    <w:uiPriority w:val="0"/>
    <w:pPr>
      <w:spacing w:before="50" w:beforeLines="50" w:after="50" w:afterLines="50" w:line="240" w:lineRule="auto"/>
      <w:jc w:val="center"/>
    </w:pPr>
    <w:rPr>
      <w:rFonts w:hint="eastAsia" w:ascii="黑体" w:hAnsi="黑体" w:eastAsia="黑体" w:cs="黑体"/>
      <w:sz w:val="48"/>
      <w:szCs w:val="40"/>
      <w:lang w:eastAsia="zh-CN"/>
    </w:rPr>
  </w:style>
  <w:style w:type="paragraph" w:customStyle="1" w:styleId="20">
    <w:name w:val="注意事项内容"/>
    <w:basedOn w:val="1"/>
    <w:qFormat/>
    <w:uiPriority w:val="0"/>
    <w:pPr>
      <w:spacing w:beforeLines="0" w:afterLines="0" w:line="240" w:lineRule="auto"/>
      <w:ind w:firstLine="560" w:firstLineChars="200"/>
    </w:pPr>
    <w:rPr>
      <w:rFonts w:hint="eastAsia" w:ascii="楷体" w:hAnsi="楷体" w:eastAsia="楷体" w:cs="楷体"/>
      <w:sz w:val="28"/>
      <w:szCs w:val="22"/>
      <w:lang w:eastAsia="zh-CN"/>
    </w:rPr>
  </w:style>
  <w:style w:type="paragraph" w:customStyle="1" w:styleId="21">
    <w:name w:val="第几卷"/>
    <w:basedOn w:val="1"/>
    <w:qFormat/>
    <w:uiPriority w:val="0"/>
    <w:pPr>
      <w:spacing w:before="50" w:beforeLines="50" w:after="50" w:afterLines="50" w:line="240" w:lineRule="auto"/>
      <w:jc w:val="center"/>
    </w:pPr>
    <w:rPr>
      <w:rFonts w:hint="eastAsia" w:ascii="方正小标宋简体" w:hAnsi="方正小标宋简体" w:eastAsia="方正小标宋简体" w:cs="方正小标宋简体"/>
      <w:sz w:val="32"/>
      <w:szCs w:val="24"/>
      <w:lang w:eastAsia="zh-CN"/>
    </w:rPr>
  </w:style>
  <w:style w:type="character" w:customStyle="1" w:styleId="22">
    <w:name w:val="选项 Char"/>
    <w:link w:val="13"/>
    <w:uiPriority w:val="0"/>
    <w:rPr>
      <w:rFonts w:cs="Times New Roman"/>
      <w:snapToGrid/>
      <w:kern w:val="2"/>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wmf"/><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25257B75232B38-A165-1FB7-499C-2E1C792CACB5%2525252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25257B75232B38-A165-1FB7-499C-2E1C792CACB5%25252525252525252525252525252525252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BaiduSyncdisk\&#22320;&#29702;\&#35797;&#21367;\&#35797;&#21367;&#27169;&#26495;&#65288;A4&#32440;&#65289;.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试卷模板（A4纸）.dotx</Template>
  <Pages>1</Pages>
  <Words>246</Words>
  <Characters>258</Characters>
  <Lines>0</Lines>
  <Paragraphs>0</Paragraphs>
  <TotalTime>4</TotalTime>
  <ScaleCrop>false</ScaleCrop>
  <LinksUpToDate>false</LinksUpToDate>
  <CharactersWithSpaces>262</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2025-08-06T23:01:00Z</dcterms:created>
  <dc:creator>Deledy</dc:creator>
  <cp:lastModifiedBy>Deledy</cp:lastModifiedBy>
  <cp:lastPrinted>2026-04-04T14:36:55Z</cp:lastPrinted>
  <dcterms:modified xsi:type="dcterms:W3CDTF">2026-04-04T14:38:45Z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2052-11.8.2.12055</vt:lpwstr>
  </property>
  <property fmtid="{D5CDD505-2E9C-101B-9397-08002B2CF9AE}" pid="3" name="ICV">
    <vt:lpwstr>AD6B70C41565456CA48EB057B405DBCB</vt:lpwstr>
  </property>
</Properties>
</file>