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87EC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eastAsia="宋体" w:hAnsi="宋体" w:cs="宋体" w:hint="eastAsia"/>
          <w:b/>
          <w:i w:val="0"/>
          <w:sz w:val="32"/>
          <w:szCs w:val="32"/>
        </w:rPr>
      </w:pPr>
      <w:r>
        <w:rPr>
          <w:rFonts w:ascii="宋体" w:eastAsia="宋体" w:hAnsi="宋体" w:cs="宋体" w:hint="eastAsia"/>
          <w:b/>
          <w:i w:val="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5pt;height:39pt;margin-top:963pt;margin-left:966pt;mso-position-horizontal-relative:page;mso-position-vertical-relative:top-margin-area;position:absolute;z-index:251658240">
            <v:imagedata r:id="rId4" o:title=""/>
            <o:lock v:ext="edit" aspectratio="t"/>
          </v:shape>
        </w:pict>
      </w:r>
      <w:bookmarkStart w:id="0" w:name="page_1"/>
      <w:r>
        <w:rPr>
          <w:rFonts w:ascii="宋体" w:eastAsia="宋体" w:hAnsi="宋体" w:cs="宋体" w:hint="eastAsia"/>
          <w:b/>
          <w:i w:val="0"/>
          <w:sz w:val="32"/>
          <w:szCs w:val="32"/>
        </w:rPr>
        <w:t>吉林油田高级中学</w:t>
      </w:r>
      <w:r>
        <w:rPr>
          <w:rFonts w:ascii="Times New Roman" w:eastAsia="宋体" w:hAnsi="Times New Roman" w:cs="Times New Roman" w:hint="default"/>
          <w:b/>
          <w:i w:val="0"/>
          <w:sz w:val="32"/>
          <w:szCs w:val="32"/>
        </w:rPr>
        <w:t>2025-2026</w:t>
      </w:r>
      <w:r>
        <w:rPr>
          <w:rFonts w:ascii="宋体" w:eastAsia="宋体" w:hAnsi="宋体" w:cs="宋体" w:hint="eastAsia"/>
          <w:b/>
          <w:i w:val="0"/>
          <w:sz w:val="32"/>
          <w:szCs w:val="32"/>
        </w:rPr>
        <w:t>学年第二学期期末考试</w:t>
      </w:r>
    </w:p>
    <w:p w14:paraId="75DE2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eastAsia="宋体" w:hAnsi="宋体" w:cs="宋体" w:hint="eastAsia"/>
          <w:b/>
          <w:i w:val="0"/>
          <w:sz w:val="32"/>
          <w:szCs w:val="32"/>
        </w:rPr>
      </w:pPr>
      <w:r>
        <w:rPr>
          <w:rFonts w:ascii="宋体" w:eastAsia="宋体" w:hAnsi="宋体" w:cs="宋体" w:hint="eastAsia"/>
          <w:b/>
          <w:i w:val="0"/>
          <w:sz w:val="32"/>
          <w:szCs w:val="32"/>
        </w:rPr>
        <w:t>高二地理试卷</w:t>
      </w:r>
    </w:p>
    <w:p w14:paraId="28B86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eastAsia="宋体" w:hAnsi="宋体" w:cs="宋体" w:hint="eastAsia"/>
          <w:b/>
          <w:i w:val="0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sz w:val="24"/>
          <w:szCs w:val="24"/>
        </w:rPr>
        <w:t>时间：</w:t>
      </w:r>
      <w:r>
        <w:rPr>
          <w:rFonts w:ascii="Times New Roman" w:eastAsia="宋体" w:hAnsi="Times New Roman" w:cs="Times New Roman" w:hint="default"/>
          <w:b/>
          <w:i w:val="0"/>
          <w:sz w:val="24"/>
          <w:szCs w:val="24"/>
        </w:rPr>
        <w:t>75</w:t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分钟</w:t>
      </w:r>
      <w:r>
        <w:rPr>
          <w:rFonts w:ascii="宋体" w:eastAsia="宋体" w:hAnsi="宋体" w:cs="宋体" w:hint="eastAsia"/>
          <w:b/>
          <w:i w:val="0"/>
          <w:sz w:val="24"/>
          <w:szCs w:val="24"/>
          <w:lang w:val="en-US" w:eastAsia="zh-CN"/>
        </w:rPr>
        <w:tab/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满分：</w:t>
      </w:r>
      <w:r>
        <w:rPr>
          <w:rFonts w:ascii="Times New Roman" w:eastAsia="宋体" w:hAnsi="Times New Roman" w:cs="Times New Roman" w:hint="default"/>
          <w:b/>
          <w:i w:val="0"/>
          <w:sz w:val="24"/>
          <w:szCs w:val="24"/>
        </w:rPr>
        <w:t>100</w:t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分</w:t>
      </w:r>
    </w:p>
    <w:p w14:paraId="616A9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/>
          <w:i w:val="0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sz w:val="24"/>
          <w:szCs w:val="24"/>
        </w:rPr>
        <w:t>一、选择题（本大题共</w:t>
      </w:r>
      <w:r>
        <w:rPr>
          <w:rFonts w:ascii="Times New Roman" w:eastAsia="宋体" w:hAnsi="Times New Roman" w:cs="Times New Roman" w:hint="default"/>
          <w:b/>
          <w:i w:val="0"/>
          <w:sz w:val="24"/>
          <w:szCs w:val="24"/>
        </w:rPr>
        <w:t>16</w:t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小题，每小题</w:t>
      </w:r>
      <w:r>
        <w:rPr>
          <w:rFonts w:ascii="Times New Roman" w:eastAsia="宋体" w:hAnsi="Times New Roman" w:cs="Times New Roman" w:hint="default"/>
          <w:b/>
          <w:i w:val="0"/>
          <w:sz w:val="24"/>
          <w:szCs w:val="24"/>
        </w:rPr>
        <w:t>3</w:t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分，共</w:t>
      </w:r>
      <w:r>
        <w:rPr>
          <w:rFonts w:ascii="Times New Roman" w:eastAsia="宋体" w:hAnsi="Times New Roman" w:cs="Times New Roman" w:hint="default"/>
          <w:b/>
          <w:i w:val="0"/>
          <w:sz w:val="24"/>
          <w:szCs w:val="24"/>
        </w:rPr>
        <w:t>48</w:t>
      </w:r>
      <w:r>
        <w:rPr>
          <w:rFonts w:ascii="宋体" w:eastAsia="宋体" w:hAnsi="宋体" w:cs="宋体" w:hint="eastAsia"/>
          <w:b/>
          <w:i w:val="0"/>
          <w:sz w:val="24"/>
          <w:szCs w:val="24"/>
        </w:rPr>
        <w:t>分。在每小题给出的四个选项中，只有一项是符合题目要求的。）</w:t>
      </w:r>
    </w:p>
    <w:p w14:paraId="77282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金砖国家是一个国际合作组织。该合作组织自成立以来，合作基础日益夯实，领域逐渐拓展，已成为促进世界经济增长、完善全球治理、推动国际关系民主化的建设性力量。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2025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月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日，白俄罗斯、玻利维亚、泰国、马来西亚等国正式成为金砖国家成员。下图分别示意白俄罗斯和玻利维亚地理位置。据此完成下面小题。</w:t>
      </w:r>
    </w:p>
    <w:p w14:paraId="0D401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5799455" cy="1707515"/>
            <wp:effectExtent l="0" t="0" r="10795" b="698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2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白俄罗斯位于玻利维亚的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5B6DB2E3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东南方向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西南方向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东北方向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西北方向</w:t>
      </w:r>
    </w:p>
    <w:p w14:paraId="6975B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2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与右图相比，左图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2C7C140F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比例尺更大，表示的范围更小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比例尺更小，表示的范围更大</w:t>
      </w:r>
    </w:p>
    <w:p w14:paraId="42745706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比例尺更大，表示的范围更大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比例尺更小，表示的范围更小</w:t>
      </w:r>
    </w:p>
    <w:p w14:paraId="05A7F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2026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月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日，王同学前往我国西南某山区开展地理实践活动。下图为该区域等高线地形图。据此完成下面小题。</w:t>
      </w:r>
    </w:p>
    <w:p w14:paraId="19CAF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2740025" cy="1871345"/>
            <wp:effectExtent l="0" t="0" r="3175" b="1460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3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该区域的地貌环境为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4B731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．地表沟壑纵横，黄土地貌广布</w:t>
      </w:r>
    </w:p>
    <w:p w14:paraId="5A4B4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．高山峡谷相间，喀斯特地貌发育</w:t>
      </w:r>
    </w:p>
    <w:p w14:paraId="37ADC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．冰川地貌广布，地表起伏和缓</w:t>
      </w:r>
    </w:p>
    <w:p w14:paraId="25D87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．地势南高北低，地面坦荡且平整</w:t>
      </w:r>
    </w:p>
    <w:p w14:paraId="4CF44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4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②④两地的高度差最大可能为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5C53979F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500</w:t>
      </w:r>
      <w:r>
        <w:rPr>
          <w:rFonts w:ascii="Times New Roman" w:eastAsia="宋体" w:hAnsi="Times New Roman" w:cs="Times New Roman" w:hint="eastAsia"/>
          <w:b w:val="0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m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550</w:t>
      </w:r>
      <w:r>
        <w:rPr>
          <w:rFonts w:ascii="Times New Roman" w:eastAsia="宋体" w:hAnsi="Times New Roman" w:cs="Times New Roman" w:hint="eastAsia"/>
          <w:b w:val="0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m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690</w:t>
      </w:r>
      <w:r>
        <w:rPr>
          <w:rFonts w:ascii="Times New Roman" w:eastAsia="宋体" w:hAnsi="Times New Roman" w:cs="Times New Roman" w:hint="eastAsia"/>
          <w:b w:val="0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m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700</w:t>
      </w:r>
      <w:r>
        <w:rPr>
          <w:rFonts w:ascii="Times New Roman" w:eastAsia="宋体" w:hAnsi="Times New Roman" w:cs="Times New Roman" w:hint="eastAsia"/>
          <w:b w:val="0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m</w:t>
      </w:r>
    </w:p>
    <w:p w14:paraId="73659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5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暴雨过后，该区域最易遭受泥石流灾害的地点是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74D474DE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．①地    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．②地    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．③地    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．④地</w:t>
      </w:r>
    </w:p>
    <w:p w14:paraId="5D22B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  秦岭西起昆仑，中经陇南、陕南，东至鄂豫皖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—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大别山以及蚌埠附近的张八岭，是长江和黄河流域的分水岭，不仅是中国南北方的界山，还是南北方地理、气候、资源差异的分界线。秦岭南北两侧气候不同、水土不同，饮食、建筑、交通等社会生活习惯不同，久而久之演变成了社会整体风俗习惯的不同，由于秦岭南北的温度、气候、地形均呈现差异性变化，冬天，秦岭阻挡寒潮往南进入南方地区；夏天，阻挡湿润海风进入北方地区。据此完成下面小题。</w:t>
      </w:r>
    </w:p>
    <w:p w14:paraId="39982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秦岭是我国一条重要的地理界线，以秦岭为界，可以划分多种类型的区域。下列关于区域的叙述中，正确的是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76EE6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．区域划分的指标，既可以是单一指标，又可采用综合指标  </w:t>
      </w:r>
    </w:p>
    <w:p w14:paraId="2120F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．区域都有明确的边界</w:t>
      </w:r>
    </w:p>
    <w:p w14:paraId="67CB1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．区域都是根据自然要素特征来划分的</w:t>
      </w:r>
    </w:p>
    <w:p w14:paraId="3A7B9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．区域内部存在差异，区域之间某些特征相对一致</w:t>
      </w:r>
    </w:p>
    <w:p w14:paraId="3ED80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7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秦岭被公路、铁路、隧道变成了通途，可以促进秦岭南北两侧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08C00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．人口密度日益接近</w:t>
      </w:r>
    </w:p>
    <w:p w14:paraId="192C7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．自然地理特征趋于相似</w:t>
      </w:r>
    </w:p>
    <w:p w14:paraId="2774D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．风俗习惯日益接近 </w:t>
      </w:r>
    </w:p>
    <w:p w14:paraId="6AC75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．农业地域类型趋于相同</w:t>
      </w:r>
    </w:p>
    <w:p w14:paraId="0ADDA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  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2025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年，海南省定安县某花岗岩矿将人工智能嵌入生产环节，实现数字技术辅助采矿、无人驾驶新能源</w:t>
      </w:r>
      <w:r>
        <w:rPr>
          <w:rFonts w:ascii="楷体" w:eastAsia="楷体" w:hAnsi="楷体" w:cs="楷体" w:hint="eastAsia"/>
          <w:b w:val="0"/>
          <w:i w:val="0"/>
          <w:sz w:val="21"/>
          <w:szCs w:val="21"/>
          <w:lang w:val="en-US" w:eastAsia="zh-CN"/>
        </w:rPr>
        <w:t>卡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车不间断运输和机器人定时定线巡检，着力打造“人工智能＋绿色智慧矿山”新模式。据此完成下面小题。</w:t>
      </w:r>
    </w:p>
    <w:p w14:paraId="336EE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8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使用人工智能后，该矿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0E497AD1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道路条件改善  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矿体规模扩大  </w:t>
      </w:r>
    </w:p>
    <w:p w14:paraId="5E2E6776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巡检路线缩短  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生产效率提升</w:t>
      </w:r>
    </w:p>
    <w:p w14:paraId="3F469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9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“人工智能＋绿色智慧矿山”反映矿产资源开采中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2E9C5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信息化水平影响减弱</w:t>
      </w:r>
    </w:p>
    <w:p w14:paraId="6D332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资金投入影响减弱</w:t>
      </w:r>
    </w:p>
    <w:p w14:paraId="0BB9F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劳动力质量影响增强</w:t>
      </w:r>
    </w:p>
    <w:p w14:paraId="2037E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资源禀赋影响增强</w:t>
      </w:r>
    </w:p>
    <w:p w14:paraId="2B8EE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  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发展新能源汽车是我国从汽车大国迈向汽车强国的必由之路，也是实现“双碳”目标的重要路径。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W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汽车是中国高端新能源汽车企业代表，公司自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2014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年创立至今完成了从“代工生产”</w:t>
      </w:r>
      <w:bookmarkEnd w:id="0"/>
      <w:bookmarkStart w:id="1" w:name="page_2"/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到“自主智造与生态运营”的生产转型。下图是该企业发展至今的主要历程。据此完成下面小题。</w:t>
      </w:r>
    </w:p>
    <w:p w14:paraId="271FA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4218940" cy="1151255"/>
            <wp:effectExtent l="0" t="0" r="10160" b="1079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C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10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该企业由代工模式转向自主生产，主要目的是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4D3E1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①降低运输成本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②提升品牌形象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③加快技术转化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④促进当地就业</w:t>
      </w:r>
    </w:p>
    <w:p w14:paraId="10847811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．①②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．①④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．③④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．②③</w:t>
      </w:r>
    </w:p>
    <w:p w14:paraId="6B65D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11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换电站在西部地区快速布局，带来的直接影响是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32661B4A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．加速西部高耗能产业转入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．改善西部交通物流条件</w:t>
      </w:r>
    </w:p>
    <w:p w14:paraId="35BDE478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．促进西部可再生能源消纳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．推动西部数字经济发展</w:t>
      </w:r>
    </w:p>
    <w:p w14:paraId="72A2D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赤水河为长江支流，发源于云南，流经贵州和四川，其水质直接关系沿岸酿酒产业的核心利益。为协调环保与发展的矛盾，云贵川三省建立跨省横向生态补偿机制，以水质考核为核心，推动流域协作共治。左图示意赤水河流域局部图，右图为跨省横向生态补偿机制示意图。据此完成下面小题。</w:t>
      </w:r>
    </w:p>
    <w:p w14:paraId="6B087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5480685" cy="2057400"/>
            <wp:effectExtent l="0" t="0" r="571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12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跨省“横向补偿”机制的主要优势有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237BC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①增强地方政府保护环境的积极性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②实现补偿资金与水质成效动态挂钩</w:t>
      </w:r>
    </w:p>
    <w:p w14:paraId="613AE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③解决财政对生态治理的支出压力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④替代行政手段在环境保护中的作用</w:t>
      </w:r>
    </w:p>
    <w:p w14:paraId="44782B1C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．①②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．①③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．②④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．③④</w:t>
      </w:r>
    </w:p>
    <w:p w14:paraId="6B5D3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13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受生态补偿机制影响，赤水河上游地区产业布局的新方向是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7F524479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．扩大当地酿酒产业规模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．发展生态农业和生态旅游</w:t>
      </w:r>
    </w:p>
    <w:p w14:paraId="3EFD79A0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．全面实施退耕还林还草工程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．扩大建设用地承接产业转移</w:t>
      </w:r>
    </w:p>
    <w:p w14:paraId="1DF53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双湖县位于青藏高原腹地，是我国海拔最高的县，作为羌塘国家级自然保护区的重要组成部分，也是藏羚羊、藏野驴等野生动物的重要栖息地。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2005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年，为促使传统畜牧业向现代畜牧业转变，当地进行大规模草场围栏和交通建设，但加剧了人与野生动物的冲突。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2018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年以来，当地实施围栏拆除等系列措施，藏羚羊种群数量逐年增长。如图示意双湖县居民点分布和藏羚羊迁徙路线。据此完成下面小题。</w:t>
      </w:r>
    </w:p>
    <w:p w14:paraId="7CA3C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3050540" cy="2253615"/>
            <wp:effectExtent l="0" t="0" r="12700" b="190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8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14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自然保护区分为核心区、缓冲区和实验区三个功能区。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Ⅰ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Ⅱ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Ⅲ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分别表示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08613CEC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缓冲区、实验区、核心区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缓冲区、核心区、实验区</w:t>
      </w:r>
    </w:p>
    <w:p w14:paraId="486D40A9">
      <w:pPr>
        <w:keepNext w:val="0"/>
        <w:keepLines w:val="0"/>
        <w:pageBreakBefore w:val="0"/>
        <w:widowControl/>
        <w:tabs>
          <w:tab w:val="left" w:pos="48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核心区、实验区、缓冲区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核心区、缓冲区、实验区</w:t>
      </w:r>
    </w:p>
    <w:p w14:paraId="3F0D8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15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随着草场围栏建设，藏羚羊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3D7A6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①活动范围扩大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②迁徙路线受阻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③食物来源增加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④栖息地破碎化</w:t>
      </w:r>
    </w:p>
    <w:p w14:paraId="65CEE6AB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①③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①④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②③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②④</w:t>
      </w:r>
    </w:p>
    <w:p w14:paraId="0A188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16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为实现人与自然和谐共生，除拆除围栏外，其他可行措施有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（     ）</w:t>
      </w:r>
    </w:p>
    <w:p w14:paraId="7935C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①减少藏羚羊天敌的数量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②在北部建设人工草场</w:t>
      </w:r>
    </w:p>
    <w:p w14:paraId="3E6AC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③持续实施退牧还草工程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④推动居民点适度集中</w:t>
      </w:r>
    </w:p>
    <w:p w14:paraId="5139A73A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A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①②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B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①④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C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②③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D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③④</w:t>
      </w:r>
    </w:p>
    <w:p w14:paraId="44E643BB">
      <w:pPr>
        <w:keepNext w:val="0"/>
        <w:keepLines w:val="0"/>
        <w:pageBreakBefore w:val="0"/>
        <w:widowControl/>
        <w:tabs>
          <w:tab w:val="left" w:pos="2435"/>
          <w:tab w:val="left" w:pos="4870"/>
          <w:tab w:val="left" w:pos="73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/>
          <w:bCs/>
          <w:i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i w:val="0"/>
          <w:sz w:val="24"/>
          <w:szCs w:val="24"/>
        </w:rPr>
        <w:t>二、综合题（共</w:t>
      </w:r>
      <w:r>
        <w:rPr>
          <w:rFonts w:ascii="Times New Roman" w:eastAsia="宋体" w:hAnsi="Times New Roman" w:cs="Times New Roman" w:hint="default"/>
          <w:b/>
          <w:bCs/>
          <w:i w:val="0"/>
          <w:sz w:val="24"/>
          <w:szCs w:val="24"/>
        </w:rPr>
        <w:t>3</w:t>
      </w:r>
      <w:r>
        <w:rPr>
          <w:rFonts w:ascii="宋体" w:eastAsia="宋体" w:hAnsi="宋体" w:cs="宋体" w:hint="eastAsia"/>
          <w:b/>
          <w:bCs/>
          <w:i w:val="0"/>
          <w:sz w:val="24"/>
          <w:szCs w:val="24"/>
        </w:rPr>
        <w:t>道题，</w:t>
      </w:r>
      <w:r>
        <w:rPr>
          <w:rFonts w:ascii="Times New Roman" w:eastAsia="宋体" w:hAnsi="Times New Roman" w:cs="Times New Roman" w:hint="default"/>
          <w:b/>
          <w:bCs/>
          <w:i w:val="0"/>
          <w:sz w:val="24"/>
          <w:szCs w:val="24"/>
        </w:rPr>
        <w:t>52</w:t>
      </w:r>
      <w:r>
        <w:rPr>
          <w:rFonts w:ascii="宋体" w:eastAsia="宋体" w:hAnsi="宋体" w:cs="宋体" w:hint="eastAsia"/>
          <w:b/>
          <w:bCs/>
          <w:i w:val="0"/>
          <w:sz w:val="24"/>
          <w:szCs w:val="24"/>
        </w:rPr>
        <w:t>分）</w:t>
      </w:r>
    </w:p>
    <w:p w14:paraId="2267F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17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阅读图文材料，回答相关问题。（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20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31653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武汉城市圈，是指以武汉为核心，覆盖周边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8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个城市所组成的城市圈。面积不到湖北省的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/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3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，却集中了全省一半以上的人口、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60%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以上的经济总量。</w:t>
      </w:r>
    </w:p>
    <w:p w14:paraId="707B2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武汉是我国中部地区特大城市之一，在水陆空综合交通方面优势显著，是承接东西，互联南北，辐射周边的金融、商贸、科教、信息、物流和旅游集散中心，光电子、汽车、新材料、生物医药、环保等产业已成规模。</w:t>
      </w:r>
    </w:p>
    <w:bookmarkEnd w:id="1"/>
    <w:p w14:paraId="0AFA3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武汉对周边城市有辐射作用。例如，黄冈紧邻武汉，与武汉之间有城际铁路和高速公路相连，农业、教育品牌优势明显，已与武汉市共建了“中国光谷黄冈产业园”等区域产业互动融合示范区，依托武汉的光电产业品牌和产业发展优势，结合黄冈市区资源和产业基础，主要发展汽车零部件、电子电器、高端装备制造等产业集群和现代服务业。下图示意武汉及周边城市。</w:t>
      </w:r>
    </w:p>
    <w:p w14:paraId="38FB3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3098165" cy="1995170"/>
            <wp:effectExtent l="0" t="0" r="6985" b="508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B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）武汉对黄冈的辐射作用是如何体现的？（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31207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2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）黄冈发展电子电器产业的区位优势是什么？（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8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54A6C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3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）武汉城市圈对武汉自身发展的意义是什么？（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2981B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18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阅读图文材料，完成下列要求。（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15A4B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i w:val="0"/>
          <w:sz w:val="21"/>
          <w:szCs w:val="21"/>
        </w:rPr>
        <w:t>材料一：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特高压输电具有远距离、大容量等优势，是我国优化能源跨区域配置的关键技术。宁夏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—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湖南特高压直流输电工程（简称宁电入湘工程）于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2025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8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月投产送电，是我国首条获批的以输送“沙戈荒”风电光伏为主的特高压输电通道。该工程搭建起宁夏清洁能源基地与湖南工业负荷中心的联动桥梁，实现了产业发展的跨区域互补共赢。</w:t>
      </w:r>
    </w:p>
    <w:p w14:paraId="41C5A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i w:val="0"/>
          <w:sz w:val="21"/>
          <w:szCs w:val="21"/>
        </w:rPr>
        <w:t>材料二：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下图为“宁电入湘”工程线路示意图。</w:t>
      </w:r>
    </w:p>
    <w:p w14:paraId="6AABE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2795270" cy="1963420"/>
            <wp:effectExtent l="0" t="0" r="5080" b="1778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8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）简述“沙戈荒”地区成为我国大型风电光伏基地的自然优势条件。（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585AE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2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）与传统输电相比，分析“宁电入湘”采用特高压输电的突出优势。（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4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1AEEF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3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）从产业发展的角度，分析“宁电入湘”工程对宁湘区域协同发展的意义。（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75295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19</w:t>
      </w:r>
      <w:r>
        <w:rPr>
          <w:rFonts w:ascii="宋体" w:eastAsia="宋体" w:hAnsi="宋体" w:cs="宋体" w:hint="eastAsia"/>
          <w:b w:val="0"/>
          <w:i w:val="0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阅读图文资料，完成下列要求。（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4D3E6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i w:val="0"/>
          <w:sz w:val="21"/>
          <w:szCs w:val="21"/>
        </w:rPr>
        <w:t>材料一：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“海洋强国”是指在开发海洋、利用海洋、保护海洋、管控海洋方面拥有强大综合实力的国家。作为一个海洋大国，我国经济社会越向高质量发展，越要面向海洋、向海图强。</w:t>
      </w:r>
    </w:p>
    <w:p w14:paraId="43AE3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楷体" w:eastAsia="楷体" w:hAnsi="楷体" w:cs="楷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i w:val="0"/>
          <w:sz w:val="21"/>
          <w:szCs w:val="21"/>
        </w:rPr>
        <w:t>材料二：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2005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年，山东率先启动渔业资源修复行动计划，大力支持人工鱼礁建设，推动海洋牧场发展。目前，山东已建成省级以上海洋牧场示范区（项目）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105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处，其中国家级海洋牧场示范区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44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处，占全国的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40%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，左图是山东省主要海洋牧场城市分布。</w:t>
      </w:r>
    </w:p>
    <w:p w14:paraId="0025A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i w:val="0"/>
          <w:sz w:val="21"/>
          <w:szCs w:val="21"/>
        </w:rPr>
        <w:t>材料三：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智慧养殖工船的建造是我国深远海养殖的“大国重器”，堪称“渔业养殖航母”，可有效利用深远海适宜海域进行长期游弋式养殖，躲避台风、赤潮等自然灾害，也被称为“移动的海洋牧场”。智慧养殖工船舱内实时监测并自动调控水、氧、光、饲、鱼等，养殖密度是传统网箱的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4-6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倍，养殖周期可缩短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/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4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以上。船上还拥有苗种培育、饲料加工、物流运输、销售为一体的完整产业链。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2025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年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月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日，由青岛国信集团投资建设的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15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万吨级智慧渔业大型养殖工船“国信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号</w:t>
      </w:r>
      <w:r>
        <w:rPr>
          <w:rFonts w:ascii="Times New Roman" w:eastAsia="楷体" w:hAnsi="Times New Roman" w:cs="Times New Roman" w:hint="default"/>
          <w:b w:val="0"/>
          <w:i w:val="0"/>
          <w:sz w:val="21"/>
          <w:szCs w:val="21"/>
        </w:rPr>
        <w:t>2-2</w:t>
      </w:r>
      <w:r>
        <w:rPr>
          <w:rFonts w:ascii="楷体" w:eastAsia="楷体" w:hAnsi="楷体" w:cs="楷体" w:hint="eastAsia"/>
          <w:b w:val="0"/>
          <w:i w:val="0"/>
          <w:sz w:val="21"/>
          <w:szCs w:val="21"/>
        </w:rPr>
        <w:t>”（右图）交付运营，标志着中国深远海养殖工船迈入智能化、标准化、产业化运营新阶段。</w:t>
      </w:r>
    </w:p>
    <w:p w14:paraId="7EEA5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drawing>
          <wp:inline distT="0" distB="0" distL="114300" distR="114300">
            <wp:extent cx="4947285" cy="1533525"/>
            <wp:effectExtent l="0" t="0" r="5715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D3A1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1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）分析山东省发展海洋牧场的优势条件。（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457F2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2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）与传统近海养殖相比，分析智慧养殖工船养殖模式的海产品品质更优的原因。（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4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p w14:paraId="3C2FD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i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3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）简述大型智慧养殖工船的运营对我国建设海洋强国的重要作用。（</w:t>
      </w:r>
      <w:r>
        <w:rPr>
          <w:rFonts w:ascii="Times New Roman" w:eastAsia="宋体" w:hAnsi="Times New Roman" w:cs="Times New Roman" w:hint="default"/>
          <w:b w:val="0"/>
          <w:i w:val="0"/>
          <w:sz w:val="21"/>
          <w:szCs w:val="21"/>
        </w:rPr>
        <w:t>6</w:t>
      </w:r>
      <w:r>
        <w:rPr>
          <w:rFonts w:ascii="宋体" w:eastAsia="宋体" w:hAnsi="宋体" w:cs="宋体" w:hint="eastAsia"/>
          <w:b w:val="0"/>
          <w:i w:val="0"/>
          <w:sz w:val="21"/>
          <w:szCs w:val="21"/>
        </w:rPr>
        <w:t>分）</w:t>
      </w:r>
    </w:p>
    <w:sectPr>
      <w:headerReference w:type="default" r:id="rId13"/>
      <w:footerReference w:type="default" r:id="rId14"/>
      <w:pgSz w:w="11906" w:h="16838"/>
      <w:pgMar w:top="1440" w:right="1083" w:bottom="1440" w:left="1083" w:header="851" w:footer="992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jc w:val="left"/>
      <w:rPr>
        <w:rFonts w:eastAsia="宋体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eastAsia="宋体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4151FC"/>
    <w:rsid w:val="00A77B3E"/>
    <w:rsid w:val="00C02FC6"/>
    <w:rsid w:val="00CA2A55"/>
    <w:rsid w:val="03771E7F"/>
    <w:rsid w:val="38170F5F"/>
    <w:rsid w:val="4F344924"/>
    <w:rsid w:val="6BDA7CFF"/>
    <w:rsid w:val="6BF60FB2"/>
    <w:rsid w:val="6C70241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eastAsia="宋体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eastAsia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27</TotalTime>
  <Pages>6</Pages>
  <Words>3446</Words>
  <Characters>3555</Characters>
  <Application>Microsoft Office Word</Application>
  <DocSecurity>0</DocSecurity>
  <Lines>1</Lines>
  <Paragraphs>1</Paragraphs>
  <ScaleCrop>false</ScaleCrop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chenh</dc:creator>
  <cp:lastModifiedBy>葬爱</cp:lastModifiedBy>
  <cp:revision>1</cp:revision>
  <dcterms:created xsi:type="dcterms:W3CDTF">2026-07-14T13:47:00Z</dcterms:created>
  <dcterms:modified xsi:type="dcterms:W3CDTF">2026-07-14T15:48:38Z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