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10541000</wp:posOffset>
            </wp:positionV>
            <wp:extent cx="406400" cy="431800"/>
            <wp:wrapNone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9264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12192000</wp:posOffset>
            </wp:positionV>
            <wp:extent cx="393700" cy="419100"/>
            <wp:wrapNone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2028</w:t>
      </w:r>
      <w:r>
        <w:rPr>
          <w:rFonts w:ascii="宋体" w:eastAsia="宋体" w:hAnsi="宋体" w:cs="宋体"/>
          <w:b/>
          <w:color w:val="auto"/>
          <w:sz w:val="32"/>
        </w:rPr>
        <w:t>届高一下期期末教学质量监测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32"/>
        </w:rPr>
        <w:t>地理试题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卷（非选择题）两部分。总分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分。考试时间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75</w:t>
      </w:r>
      <w:r>
        <w:rPr>
          <w:rFonts w:ascii="宋体" w:eastAsia="宋体" w:hAnsi="宋体" w:cs="宋体"/>
          <w:b/>
          <w:color w:val="auto"/>
          <w:sz w:val="24"/>
        </w:rPr>
        <w:t>分钟。</w:t>
      </w:r>
    </w:p>
    <w:p w:rsidR="00FC5860" w:rsidRPr="00BE1BCD">
      <w:pPr>
        <w:spacing w:line="360" w:lineRule="auto"/>
        <w:jc w:val="center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48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．答题前，考生务必将自己的姓名、班级、考号用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毫米的黑色墨水签字笔填写在答题卡上。并检查条形码粘贴是否正确。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．选择题使用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铅笔填涂在答题卡对应题目标号的位置上，非选择题用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毫米黑色墨水签字笔书写在答题卡对应框内，超出答题区域书写的答案无效；在草稿纸、试题卷上答题无效。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．考试结束后，将答题卡收回。</w:t>
      </w:r>
    </w:p>
    <w:p w:rsidR="00FC5860" w:rsidRPr="00BE1BCD">
      <w:pPr>
        <w:spacing w:line="360" w:lineRule="auto"/>
        <w:jc w:val="left"/>
        <w:textAlignment w:val="center"/>
      </w:pPr>
      <w:r>
        <w:rPr>
          <w:rFonts w:ascii="宋体" w:eastAsia="宋体" w:hAnsi="宋体" w:cs="宋体"/>
          <w:b/>
          <w:color w:val="auto"/>
          <w:sz w:val="24"/>
        </w:rPr>
        <w:t>一、单项选择题（每小题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分，共计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48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ind w:firstLine="420"/>
        <w:jc w:val="left"/>
        <w:textAlignment w:val="center"/>
      </w:pPr>
      <w:r>
        <w:rPr>
          <w:rFonts w:ascii="楷体" w:eastAsia="楷体" w:hAnsi="楷体" w:cs="楷体"/>
          <w:color w:val="auto"/>
        </w:rPr>
        <w:t>成渝地区城际人口流动存在明显周节律：周一至周四城际人口流动量较小，周五至周日流动量大幅增加。从空间格局来看，成渝虽定位</w:t>
      </w:r>
      <w:r>
        <w:rPr>
          <w:rFonts w:ascii="宋体" w:eastAsia="宋体" w:hAnsi="宋体" w:cs="宋体"/>
          <w:color w:val="auto"/>
        </w:rPr>
        <w:t>“</w:t>
      </w:r>
      <w:r>
        <w:rPr>
          <w:rFonts w:ascii="楷体" w:eastAsia="楷体" w:hAnsi="楷体" w:cs="楷体"/>
          <w:color w:val="auto"/>
        </w:rPr>
        <w:t>双城经济圈</w:t>
      </w:r>
      <w:r>
        <w:rPr>
          <w:rFonts w:ascii="宋体" w:eastAsia="宋体" w:hAnsi="宋体" w:cs="宋体"/>
          <w:color w:val="auto"/>
        </w:rPr>
        <w:t>”</w:t>
      </w:r>
      <w:r>
        <w:rPr>
          <w:rFonts w:ascii="楷体" w:eastAsia="楷体" w:hAnsi="楷体" w:cs="楷体"/>
          <w:color w:val="auto"/>
        </w:rPr>
        <w:t>，但城际人口流动呈现以成都为单中心的特征，成都与德阳、眉山、绵阳的人口联系最为紧密；区域内形成三大人口流动组团：成都西部组团、重庆东部组团、川南组团，组团之间人口流动小，或人口联系较弱。据此完成下面小题。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成渝地区人口流动呈现明显周节律，周末人口流动量大，该现象主要为（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务工经商的人口迁移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休闲旅游的短途出行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人口大规模跨省外迁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生态移民的集中迁徙</w:t>
      </w:r>
    </w:p>
    <w:p w:rsidR="00FC5860" w:rsidRPr="00BE1BCD">
      <w:pPr>
        <w:spacing w:line="360" w:lineRule="auto"/>
        <w:jc w:val="left"/>
        <w:textAlignment w:val="center"/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成渝人口流动呈现</w:t>
      </w:r>
      <w:r>
        <w:rPr>
          <w:rFonts w:ascii="宋体" w:eastAsia="宋体" w:hAnsi="宋体" w:cs="宋体"/>
          <w:color w:val="auto"/>
        </w:rPr>
        <w:t>“</w:t>
      </w:r>
      <w:r>
        <w:rPr>
          <w:rFonts w:ascii="宋体" w:eastAsia="宋体" w:hAnsi="宋体" w:cs="宋体"/>
          <w:color w:val="auto"/>
        </w:rPr>
        <w:t>单中心</w:t>
      </w:r>
      <w:r>
        <w:rPr>
          <w:rFonts w:ascii="宋体" w:eastAsia="宋体" w:hAnsi="宋体" w:cs="宋体"/>
          <w:color w:val="auto"/>
        </w:rPr>
        <w:t>”</w:t>
      </w:r>
      <w:r>
        <w:rPr>
          <w:rFonts w:ascii="宋体" w:eastAsia="宋体" w:hAnsi="宋体" w:cs="宋体"/>
          <w:color w:val="auto"/>
        </w:rPr>
        <w:t>而非典型</w:t>
      </w:r>
      <w:r>
        <w:rPr>
          <w:rFonts w:ascii="宋体" w:eastAsia="宋体" w:hAnsi="宋体" w:cs="宋体"/>
          <w:color w:val="auto"/>
        </w:rPr>
        <w:t>“</w:t>
      </w:r>
      <w:r>
        <w:rPr>
          <w:rFonts w:ascii="宋体" w:eastAsia="宋体" w:hAnsi="宋体" w:cs="宋体"/>
          <w:color w:val="auto"/>
        </w:rPr>
        <w:t>双核</w:t>
      </w:r>
      <w:r>
        <w:rPr>
          <w:rFonts w:ascii="宋体" w:eastAsia="宋体" w:hAnsi="宋体" w:cs="宋体"/>
          <w:color w:val="auto"/>
        </w:rPr>
        <w:t>”</w:t>
      </w:r>
      <w:r>
        <w:rPr>
          <w:rFonts w:ascii="宋体" w:eastAsia="宋体" w:hAnsi="宋体" w:cs="宋体"/>
          <w:color w:val="auto"/>
        </w:rPr>
        <w:t>格局，且三大组团间联系薄弱，反映出该城市群之间（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双城气候条件差异小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区域间交通联系不便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双城城镇化速度缓慢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区域发展协同性不足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楷体" w:eastAsia="楷体" w:hAnsi="楷体" w:cs="楷体"/>
          <w:color w:val="000000"/>
        </w:rPr>
        <w:t>年，珠三角拥有常住人口</w:t>
      </w:r>
      <w:r>
        <w:rPr>
          <w:rFonts w:ascii="Times New Roman" w:eastAsia="Times New Roman" w:hAnsi="Times New Roman" w:cs="Times New Roman"/>
          <w:color w:val="000000"/>
        </w:rPr>
        <w:t>4290</w:t>
      </w:r>
      <w:r>
        <w:rPr>
          <w:rFonts w:ascii="楷体" w:eastAsia="楷体" w:hAnsi="楷体" w:cs="楷体"/>
          <w:color w:val="000000"/>
        </w:rPr>
        <w:t>万，从业人员</w:t>
      </w:r>
      <w:r>
        <w:rPr>
          <w:rFonts w:ascii="Times New Roman" w:eastAsia="Times New Roman" w:hAnsi="Times New Roman" w:cs="Times New Roman"/>
          <w:color w:val="000000"/>
        </w:rPr>
        <w:t>1902</w:t>
      </w:r>
      <w:r>
        <w:rPr>
          <w:rFonts w:ascii="楷体" w:eastAsia="楷体" w:hAnsi="楷体" w:cs="楷体"/>
          <w:color w:val="000000"/>
        </w:rPr>
        <w:t>万。其中非户籍流动人口</w:t>
      </w:r>
      <w:r>
        <w:rPr>
          <w:rFonts w:ascii="Times New Roman" w:eastAsia="Times New Roman" w:hAnsi="Times New Roman" w:cs="Times New Roman"/>
          <w:color w:val="000000"/>
        </w:rPr>
        <w:t>1726</w:t>
      </w:r>
      <w:r>
        <w:rPr>
          <w:rFonts w:ascii="楷体" w:eastAsia="楷体" w:hAnsi="楷体" w:cs="楷体"/>
          <w:color w:val="000000"/>
        </w:rPr>
        <w:t>万，占常住人口的</w:t>
      </w:r>
      <w:r>
        <w:rPr>
          <w:rFonts w:ascii="Times New Roman" w:eastAsia="Times New Roman" w:hAnsi="Times New Roman" w:cs="Times New Roman"/>
          <w:color w:val="000000"/>
        </w:rPr>
        <w:t>40%</w:t>
      </w:r>
      <w:r>
        <w:rPr>
          <w:rFonts w:ascii="楷体" w:eastAsia="楷体" w:hAnsi="楷体" w:cs="楷体"/>
          <w:color w:val="000000"/>
        </w:rPr>
        <w:t>，占从业人员的比例更是高达</w:t>
      </w:r>
      <w:r>
        <w:rPr>
          <w:rFonts w:ascii="Times New Roman" w:eastAsia="Times New Roman" w:hAnsi="Times New Roman" w:cs="Times New Roman"/>
          <w:color w:val="000000"/>
        </w:rPr>
        <w:t>91%</w:t>
      </w:r>
      <w:r>
        <w:rPr>
          <w:rFonts w:ascii="楷体" w:eastAsia="楷体" w:hAnsi="楷体" w:cs="楷体"/>
          <w:color w:val="000000"/>
        </w:rPr>
        <w:t>。依托外资、土地和人口红利，珠三角工业迅速发展。与此同时，高中以上受教育程度的人口占常住人口总量的比例从</w:t>
      </w:r>
      <w:r>
        <w:rPr>
          <w:rFonts w:ascii="Times New Roman" w:eastAsia="Times New Roman" w:hAnsi="Times New Roman" w:cs="Times New Roman"/>
          <w:color w:val="000000"/>
        </w:rPr>
        <w:t>1995</w:t>
      </w:r>
      <w:r>
        <w:rPr>
          <w:rFonts w:ascii="楷体" w:eastAsia="楷体" w:hAnsi="楷体" w:cs="楷体"/>
          <w:color w:val="000000"/>
        </w:rPr>
        <w:t>年的</w:t>
      </w:r>
      <w:r>
        <w:rPr>
          <w:rFonts w:ascii="Times New Roman" w:eastAsia="Times New Roman" w:hAnsi="Times New Roman" w:cs="Times New Roman"/>
          <w:color w:val="000000"/>
        </w:rPr>
        <w:t>28%</w:t>
      </w:r>
      <w:r>
        <w:rPr>
          <w:rFonts w:ascii="楷体" w:eastAsia="楷体" w:hAnsi="楷体" w:cs="楷体"/>
          <w:color w:val="000000"/>
        </w:rPr>
        <w:t>下降到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楷体" w:eastAsia="楷体" w:hAnsi="楷体" w:cs="楷体"/>
          <w:color w:val="000000"/>
        </w:rPr>
        <w:t>年的</w:t>
      </w:r>
      <w:r>
        <w:rPr>
          <w:rFonts w:ascii="Times New Roman" w:eastAsia="Times New Roman" w:hAnsi="Times New Roman" w:cs="Times New Roman"/>
          <w:color w:val="000000"/>
        </w:rPr>
        <w:t>22%</w:t>
      </w:r>
      <w:r>
        <w:rPr>
          <w:rFonts w:ascii="楷体" w:eastAsia="楷体" w:hAnsi="楷体" w:cs="楷体"/>
          <w:color w:val="000000"/>
        </w:rPr>
        <w:t>；珠三角工业化、城镇化进程也存在发展隐患。据此完成下面小题。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年珠三角非户籍流动人口占从业人员的比例高达</w:t>
      </w:r>
      <w:r>
        <w:rPr>
          <w:rFonts w:ascii="Times New Roman" w:eastAsia="Times New Roman" w:hAnsi="Times New Roman" w:cs="Times New Roman"/>
          <w:color w:val="000000"/>
        </w:rPr>
        <w:t>91%</w:t>
      </w:r>
      <w:r>
        <w:rPr>
          <w:rFonts w:ascii="宋体" w:eastAsia="宋体" w:hAnsi="宋体" w:cs="宋体"/>
          <w:color w:val="000000"/>
        </w:rPr>
        <w:t>，该现象有利于该区域（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大幅提升人口教育水平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大幅提高城镇化水平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快速发展高新技术产业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加速发展加工制造业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导致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宋体" w:eastAsia="宋体" w:hAnsi="宋体" w:cs="宋体"/>
          <w:color w:val="000000"/>
        </w:rPr>
        <w:t>高中以上受教育程度的人口占常住人口总量的比例从</w:t>
      </w:r>
      <w:r>
        <w:rPr>
          <w:rFonts w:ascii="Times New Roman" w:eastAsia="Times New Roman" w:hAnsi="Times New Roman" w:cs="Times New Roman"/>
          <w:color w:val="000000"/>
        </w:rPr>
        <w:t>1995</w:t>
      </w:r>
      <w:r>
        <w:rPr>
          <w:rFonts w:ascii="宋体" w:eastAsia="宋体" w:hAnsi="宋体" w:cs="宋体"/>
          <w:color w:val="000000"/>
        </w:rPr>
        <w:t>年的</w:t>
      </w:r>
      <w:r>
        <w:rPr>
          <w:rFonts w:ascii="Times New Roman" w:eastAsia="Times New Roman" w:hAnsi="Times New Roman" w:cs="Times New Roman"/>
          <w:color w:val="000000"/>
        </w:rPr>
        <w:t>28%</w:t>
      </w:r>
      <w:r>
        <w:rPr>
          <w:rFonts w:ascii="宋体" w:eastAsia="宋体" w:hAnsi="宋体" w:cs="宋体"/>
          <w:color w:val="000000"/>
        </w:rPr>
        <w:t>下降到</w:t>
      </w:r>
      <w:r>
        <w:rPr>
          <w:rFonts w:ascii="Times New Roman" w:eastAsia="Times New Roman" w:hAnsi="Times New Roman" w:cs="Times New Roman"/>
          <w:color w:val="000000"/>
        </w:rPr>
        <w:t>2000</w:t>
      </w:r>
      <w:r>
        <w:rPr>
          <w:rFonts w:ascii="宋体" w:eastAsia="宋体" w:hAnsi="宋体" w:cs="宋体"/>
          <w:color w:val="000000"/>
        </w:rPr>
        <w:t>年的</w:t>
      </w:r>
      <w:r>
        <w:rPr>
          <w:rFonts w:ascii="Times New Roman" w:eastAsia="Times New Roman" w:hAnsi="Times New Roman" w:cs="Times New Roman"/>
          <w:color w:val="000000"/>
        </w:rPr>
        <w:t>22%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本地教育资源不足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迁入人口学历较低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高素质人才迁出多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产业结构升级需求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珠三角当时的发展模式，为区域发展埋下的主要隐患是（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生态环境持续恶化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传统工业发展缓慢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产业优化升级困难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人口素质持续降低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奶瓜瓜又叫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沙奶奶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（图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楷体" w:eastAsia="楷体" w:hAnsi="楷体" w:cs="楷体"/>
          <w:color w:val="000000"/>
        </w:rPr>
        <w:t>，是多年生草本植物，具有喜光喜热、怕积水等特点。其果实富含白色乳汁，营养价值高，但保鲜期短，不耐储存。</w:t>
      </w:r>
      <w:r>
        <w:rPr>
          <w:rFonts w:ascii="Times New Roman" w:eastAsia="Times New Roman" w:hAnsi="Times New Roman" w:cs="Times New Roman"/>
          <w:color w:val="000000"/>
        </w:rPr>
        <w:t>2018</w:t>
      </w:r>
      <w:r>
        <w:rPr>
          <w:rFonts w:ascii="楷体" w:eastAsia="楷体" w:hAnsi="楷体" w:cs="楷体"/>
          <w:color w:val="000000"/>
        </w:rPr>
        <w:t>年，奶瓜瓜被引进到宁夏银川市闽宁镇中东部（图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楷体" w:eastAsia="楷体" w:hAnsi="楷体" w:cs="楷体"/>
          <w:color w:val="000000"/>
        </w:rPr>
        <w:t>）进行试种。幼苗春季种植后一段时间要进行早揭晚盖草垫管理。随着种植技术的不断推广，当地村民依托奶瓜瓜走出了一条特色鲜明的脱贫致富之路。据此完成下面小题。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24050" cy="12573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>
            <wp:extent cx="2914650" cy="26384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闽宁镇种植奶瓜瓜的优势条件主要有（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eastAsia="宋体" w:hAnsi="宋体" w:cs="宋体"/>
          <w:color w:val="000000"/>
        </w:rPr>
        <w:t>夏季光热充足，昼夜温差大</w:t>
      </w:r>
      <w:r>
        <w:rPr>
          <w:color w:val="000000"/>
        </w:rPr>
        <w:t xml:space="preserve">    ②</w:t>
      </w:r>
      <w:r>
        <w:rPr>
          <w:rFonts w:ascii="宋体" w:eastAsia="宋体" w:hAnsi="宋体" w:cs="宋体"/>
          <w:color w:val="000000"/>
        </w:rPr>
        <w:t>地势西高东低，排水条件较好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eastAsia="宋体" w:hAnsi="宋体" w:cs="宋体"/>
          <w:color w:val="000000"/>
        </w:rPr>
        <w:t>黑土分布广，土壤深厚肥沃</w:t>
      </w:r>
      <w:r>
        <w:rPr>
          <w:color w:val="000000"/>
        </w:rPr>
        <w:t xml:space="preserve">    ④</w:t>
      </w:r>
      <w:r>
        <w:rPr>
          <w:rFonts w:ascii="宋体" w:eastAsia="宋体" w:hAnsi="宋体" w:cs="宋体"/>
          <w:color w:val="000000"/>
        </w:rPr>
        <w:t>河流流经，有灌溉水源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①③④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奶瓜瓜春季幼苗期，采用早揭晚盖管理技术的气候原因是（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早晨揭草垫，保障日光照射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夜晚盖草垫，减少夜雨影响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早晨揭草垫，利于通风散热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夜晚盖草垫，避免动物破坏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下列关于闽宁镇奶瓜瓜产业可持续发展的措施不合理的是（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开垦荒地，进一步扩大奶瓜瓜种植规模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发展深加工，延长产业链，提高附加值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运用电商平台，加强宣传，打造特色品牌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完善交通，发展冷链运输，扩大销售范围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浏阳地处湖南省东北部，是中国烟花之乡。境内河流众多，丘陵山地占总面积的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楷体" w:eastAsia="楷体" w:hAnsi="楷体" w:cs="楷体"/>
          <w:color w:val="000000"/>
        </w:rPr>
        <w:t>以上，森林覆盖率达</w:t>
      </w:r>
      <w:r>
        <w:rPr>
          <w:rFonts w:ascii="Times New Roman" w:eastAsia="Times New Roman" w:hAnsi="Times New Roman" w:cs="Times New Roman"/>
          <w:color w:val="000000"/>
        </w:rPr>
        <w:t>63%</w:t>
      </w:r>
      <w:r>
        <w:rPr>
          <w:rFonts w:ascii="楷体" w:eastAsia="楷体" w:hAnsi="楷体" w:cs="楷体"/>
          <w:color w:val="000000"/>
        </w:rPr>
        <w:t>。花炮制作的重要原料是火硝和爆料纸，火硝来自湿润的酸性红壤，爆料纸由优质竹木和稻秆加工而成。造花炮需要的劳动力多，也是个十分危险的行当，但浏阳在安全方面有着天然的优势。下图为浏阳花炮工厂布局图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67050" cy="15811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浏阳花炮工厂多临河，依丘陵而建且布局分散，影响该特点的主导因素是（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建设成本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生产安全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原料供应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交通条件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湖南浏阳发展花炮产业的优势自然条件是（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降水均匀，水源充足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多低山丘陵，地租便宜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历史悠久，工艺成熟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多酸性土壤，原料优质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上世纪七十年代，涪江沿岸引流截水，发电提灌，建碍航闸坝，致航槽枯竭，成为季节性分段通航河流。遂宁三星船闸工程建成后复航，千吨级船舶可常年通航至绵阳。目前，正建绵遂资内城际铁路、安居机场等，加速遂宁陆港型国家物流枢纽承载城市的形成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影响涪江季节性分段通航的主要原因是（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泥沙淤积严重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水污染加剧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径流量变小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运输市场小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涪江遂绵段复航将（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eastAsia="宋体" w:hAnsi="宋体" w:cs="宋体"/>
          <w:color w:val="000000"/>
        </w:rPr>
        <w:t>促进沿线区域要素流动</w:t>
      </w:r>
      <w:r>
        <w:rPr>
          <w:color w:val="000000"/>
        </w:rPr>
        <w:t xml:space="preserve">    ②</w:t>
      </w:r>
      <w:r>
        <w:rPr>
          <w:rFonts w:ascii="宋体" w:eastAsia="宋体" w:hAnsi="宋体" w:cs="宋体"/>
          <w:color w:val="000000"/>
        </w:rPr>
        <w:t>改变川渝人口分布格局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eastAsia="宋体" w:hAnsi="宋体" w:cs="宋体"/>
          <w:color w:val="000000"/>
        </w:rPr>
        <w:t>导致陆路运输地位下降</w:t>
      </w:r>
      <w:r>
        <w:rPr>
          <w:color w:val="000000"/>
        </w:rPr>
        <w:t xml:space="preserve">    ④</w:t>
      </w:r>
      <w:r>
        <w:rPr>
          <w:rFonts w:ascii="宋体" w:eastAsia="宋体" w:hAnsi="宋体" w:cs="宋体"/>
          <w:color w:val="000000"/>
        </w:rPr>
        <w:t>带动沿线相关产业发展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遂宁市交通运输发展布局可以（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提高河运灵活性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促进运输网络化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体现适度超前性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提升运输专业化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福建省三沙湾水产养殖区，河口向海洋依次为河口养殖区、中部限养区、湾口养殖区。养殖区水面释放的甲烷，主要来自缺氧条件下水体中有机物的降解，其释放量主要受径流输入、水温、投饵量等因素的影响。减少温室气体排放，低碳养殖是三沙湾水产养殖业的生态目标。下图为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年三沙湾表层水体甲烷释放量的时空变化统计图。据此完成下面小题。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19350" cy="1419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养殖区从河口到湾口单位面积甲烷释放量（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持续下降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先升后降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持续上升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先降后升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养殖区夏季甲烷释放量大不是因为（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河流径流量大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水温高分解快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饵料投放量大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水体富氧环境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符合三沙湾低碳养殖的措施是（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综合养殖鱼虾贝藻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增大底部有机物淤积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扩大养殖容量密度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大幅减少饵料投喂量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52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注意事项：请用蓝黑色墨水签字笔书在第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卷答题卡上作答，不能答在此试卷上。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二、综合题（共计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52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阅读图文材料，完成下列问题。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苏州位于太湖之滨，是大运河沿岸的商贸重镇（下图）。两千余年来，苏州基本保持着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河街相邻、水陆并行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的双棋盘格局。城内有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三横四直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骨干水系通向千家万户。传统民居临水而建，多为二三层的砖木结构楼房，有些会修建阁楼。外墙多为白色，屋顶用青灰小瓦，木质柱廊漆以黑、褐色，淡雅朴素。改革开放以来，苏州工业化与城市化快速推进，城市面貌发生了翻天覆地的变化。但苏州的历史街区仍保持传统风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18478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分析苏州水乡聚落形成“河街相邻、水陆并行”格局的原因。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说明苏州传统民居建筑风格与当地自然环境的适应关系。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简述苏州在工业化与城市化推进过程中，保护历史街区传统风貌的重要意义。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阅读图文材料，完成下列问题。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被誉为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世界杯最强气氛组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的义乌，具备</w:t>
      </w:r>
      <w:r>
        <w:rPr>
          <w:rFonts w:ascii="宋体" w:eastAsia="宋体" w:hAnsi="宋体" w:cs="宋体"/>
          <w:color w:val="000000"/>
        </w:rPr>
        <w:t>“</w:t>
      </w:r>
      <w:r>
        <w:rPr>
          <w:rFonts w:ascii="楷体" w:eastAsia="楷体" w:hAnsi="楷体" w:cs="楷体"/>
          <w:color w:val="000000"/>
        </w:rPr>
        <w:t>上午追热点、下午出样品</w: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楷体" w:eastAsia="楷体" w:hAnsi="楷体" w:cs="楷体"/>
          <w:color w:val="000000"/>
        </w:rPr>
        <w:t>的超快市场响应与产品研发能力，世界杯相关周边产品依托多家工厂快速生产，从工厂装车发货，借助跨境物流，二十多天即可直达欧洲赛场。多种优势叠加，使其长期占据全球国际赛事周边商品供应的领先地位。</w:t>
      </w:r>
      <w:r>
        <w:rPr>
          <w:rFonts w:ascii="Times New Roman" w:eastAsia="Times New Roman" w:hAnsi="Times New Roman" w:cs="Times New Roman"/>
          <w:color w:val="000000"/>
        </w:rPr>
        <w:t>1982</w:t>
      </w:r>
      <w:r>
        <w:rPr>
          <w:rFonts w:ascii="楷体" w:eastAsia="楷体" w:hAnsi="楷体" w:cs="楷体"/>
          <w:color w:val="000000"/>
        </w:rPr>
        <w:t>年从马路市场起步，</w:t>
      </w:r>
      <w:r>
        <w:rPr>
          <w:rFonts w:ascii="Times New Roman" w:eastAsia="Times New Roman" w:hAnsi="Times New Roman" w:cs="Times New Roman"/>
          <w:color w:val="000000"/>
        </w:rPr>
        <w:t>2002</w:t>
      </w:r>
      <w:r>
        <w:rPr>
          <w:rFonts w:ascii="楷体" w:eastAsia="楷体" w:hAnsi="楷体" w:cs="楷体"/>
          <w:color w:val="000000"/>
        </w:rPr>
        <w:t>年发展为全球单体面积最大的小商品批发市场，</w:t>
      </w:r>
      <w:r>
        <w:rPr>
          <w:rFonts w:ascii="Times New Roman" w:eastAsia="Times New Roman" w:hAnsi="Times New Roman" w:cs="Times New Roman"/>
          <w:color w:val="000000"/>
        </w:rPr>
        <w:t>2025</w:t>
      </w:r>
      <w:r>
        <w:rPr>
          <w:rFonts w:ascii="楷体" w:eastAsia="楷体" w:hAnsi="楷体" w:cs="楷体"/>
          <w:color w:val="000000"/>
        </w:rPr>
        <w:t>年全球数贸中心正式落成。在长江三角洲城市群电商企业联系网络（下图）中，义乌已成为与上海并列的区域电商中心城市。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76525" cy="22002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结合材料，简析义乌成为全球国际赛事周边商品供应领先者的优势条件。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结合义乌发展历程，指出其产业区位因素的变化。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义乌已成为与上海并列的区域电商中心城市，请分析其崛起的原因。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楷体" w:eastAsia="楷体" w:hAnsi="楷体" w:cs="楷体"/>
          <w:color w:val="000000"/>
        </w:rPr>
        <w:t>县（下图）喀斯特地貌广布，约</w:t>
      </w:r>
      <w:r>
        <w:rPr>
          <w:rFonts w:ascii="Times New Roman" w:eastAsia="Times New Roman" w:hAnsi="Times New Roman" w:cs="Times New Roman"/>
          <w:color w:val="000000"/>
        </w:rPr>
        <w:t>1/3</w:t>
      </w:r>
      <w:r>
        <w:rPr>
          <w:rFonts w:ascii="楷体" w:eastAsia="楷体" w:hAnsi="楷体" w:cs="楷体"/>
          <w:color w:val="000000"/>
        </w:rPr>
        <w:t>土地裸岩分布。当地在荒山选种喜光耐贫瘠、根系较浅且分散的花椒。原生成年椒树植株可达</w:t>
      </w:r>
      <w:r>
        <w:rPr>
          <w:rFonts w:ascii="Times New Roman" w:eastAsia="Times New Roman" w:hAnsi="Times New Roman" w:cs="Times New Roman"/>
          <w:color w:val="000000"/>
        </w:rPr>
        <w:t>3-7</w:t>
      </w:r>
      <w:r>
        <w:rPr>
          <w:rFonts w:ascii="楷体" w:eastAsia="楷体" w:hAnsi="楷体" w:cs="楷体"/>
          <w:color w:val="000000"/>
        </w:rPr>
        <w:t>米，冠幅</w:t>
      </w:r>
      <w:r>
        <w:rPr>
          <w:rFonts w:ascii="Times New Roman" w:eastAsia="Times New Roman" w:hAnsi="Times New Roman" w:cs="Times New Roman"/>
          <w:color w:val="000000"/>
        </w:rPr>
        <w:t>2-5</w:t>
      </w:r>
      <w:r>
        <w:rPr>
          <w:rFonts w:ascii="楷体" w:eastAsia="楷体" w:hAnsi="楷体" w:cs="楷体"/>
          <w:color w:val="000000"/>
        </w:rPr>
        <w:t>米。通过选育优种、修剪、控冠、防虫害等矮树种植技术，实现从荒山变成丰产的椒海。同时研究非生物措施改善生态环境，克服自然困难完善交通等基础设施，通过系列开发，形成品牌效应明显的产业体系，推动区域高质量发展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43400" cy="27813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指出该地最突出的生态环境问题，并从气候、地形角度简述其形成原因。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分析矮树种植技术对提高花椒环境适应性的作用。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从可持续发展角度，说明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县发展花椒产业的意义。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w:type="default" r:id="rId14"/>
      <w:footerReference w:type="default" r:id="rId1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header" Target="header1.xml" /><Relationship Id="rId15" Type="http://schemas.openxmlformats.org/officeDocument/2006/relationships/footer" Target="footer1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.png" /><Relationship Id="rId2" Type="http://schemas.openxmlformats.org/officeDocument/2006/relationships/image" Target="media/image11.png" /><Relationship Id="rId3" Type="http://schemas.openxmlformats.org/officeDocument/2006/relationships/image" Target="media/image1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4052843295261696</dc:description>
  <cp:lastModifiedBy>学科网试题生产平台</cp:lastModifiedBy>
  <cp:revision>9</cp:revision>
  <dcterms:created xsi:type="dcterms:W3CDTF">2026-07-13T22:55:41Z</dcterms:created>
  <dcterms:modified xsi:type="dcterms:W3CDTF">2026-07-13T22:55:41Z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lbum" pid="2">
    <vt:lpwstr>rbm.xkw.com</vt:lpwstr>
  </property>
  <property fmtid="{D5CDD505-2E9C-101B-9397-08002B2CF9AE}" name="author" pid="3">
    <vt:lpwstr>rbm.xkw.com</vt:lpwstr>
  </property>
  <property fmtid="{D5CDD505-2E9C-101B-9397-08002B2CF9AE}" name="company" pid="4">
    <vt:lpwstr>学科网</vt:lpwstr>
  </property>
  <property fmtid="{D5CDD505-2E9C-101B-9397-08002B2CF9AE}" name="copyright" pid="5">
    <vt:lpwstr>学科网版权所有</vt:lpwstr>
  </property>
  <property fmtid="{D5CDD505-2E9C-101B-9397-08002B2CF9AE}" name="AIGC" pid="6">
    <vt:lpwstr>{"ContentPropagator":"XKW","Label":"2","ProduceID":"4052843295261696","PropagateID":"58799974","ContentProducer":"XKW"}</vt:lpwstr>
  </property>
</Properties>
</file>