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10655300</wp:posOffset>
            </wp:positionV>
            <wp:extent cx="469900" cy="469900"/>
            <wp:effectExtent l="0" t="0" r="6350" b="6350"/>
            <wp:wrapNone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10591800</wp:posOffset>
            </wp:positionH>
            <wp:positionV relativeFrom="topMargin">
              <wp:posOffset>11760200</wp:posOffset>
            </wp:positionV>
            <wp:extent cx="254000" cy="393700"/>
            <wp:effectExtent l="0" t="0" r="12700" b="6350"/>
            <wp:wrapNone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灵武市第一中学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2025-2026</w:t>
      </w:r>
      <w:r>
        <w:rPr>
          <w:rFonts w:ascii="宋体" w:hAnsi="宋体" w:eastAsia="宋体" w:cs="宋体"/>
          <w:b/>
          <w:color w:val="auto"/>
          <w:sz w:val="32"/>
        </w:rPr>
        <w:t>学年第二学期</w:t>
      </w:r>
    </w:p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高一年级期末考试地理试卷</w:t>
      </w:r>
    </w:p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分钟，试卷总分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．本科考试分试题卷和答题卷，考生须在答题卷指定位置上作答，答题前，请按要求填写学校、班级、考号、姓名。</w:t>
      </w:r>
    </w:p>
    <w:p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．本试卷分为第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Ⅰ</w:t>
      </w:r>
      <w:r>
        <w:rPr>
          <w:rFonts w:ascii="宋体" w:hAnsi="宋体" w:eastAsia="宋体" w:cs="宋体"/>
          <w:b/>
          <w:color w:val="auto"/>
          <w:sz w:val="24"/>
        </w:rPr>
        <w:t>卷（选择题）和第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Ⅱ</w:t>
      </w:r>
      <w:r>
        <w:rPr>
          <w:rFonts w:ascii="宋体" w:hAnsi="宋体" w:eastAsia="宋体" w:cs="宋体"/>
          <w:b/>
          <w:color w:val="auto"/>
          <w:sz w:val="24"/>
        </w:rPr>
        <w:t>卷（非选择题）两部分。</w:t>
      </w:r>
    </w:p>
    <w:p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I</w:t>
      </w:r>
      <w:r>
        <w:rPr>
          <w:rFonts w:ascii="宋体" w:hAnsi="宋体" w:eastAsia="宋体" w:cs="宋体"/>
          <w:b/>
          <w:color w:val="auto"/>
          <w:sz w:val="24"/>
        </w:rPr>
        <w:t>卷（选择题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</w:t>
      </w:r>
      <w:r>
        <w:rPr>
          <w:rFonts w:ascii="宋体" w:hAnsi="宋体" w:eastAsia="宋体" w:cs="宋体"/>
          <w:b/>
          <w:color w:val="auto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48</w:t>
      </w:r>
      <w:r>
        <w:rPr>
          <w:rFonts w:ascii="宋体" w:hAnsi="宋体" w:eastAsia="宋体" w:cs="宋体"/>
          <w:b/>
          <w:color w:val="auto"/>
          <w:sz w:val="24"/>
        </w:rPr>
        <w:t>分）</w:t>
      </w:r>
    </w:p>
    <w:p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一、单选题：本大题共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16</w:t>
      </w:r>
      <w:r>
        <w:rPr>
          <w:rFonts w:ascii="宋体" w:hAnsi="宋体" w:eastAsia="宋体" w:cs="宋体"/>
          <w:b/>
          <w:color w:val="auto"/>
          <w:sz w:val="24"/>
        </w:rPr>
        <w:t>道小题，每小题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48</w:t>
      </w:r>
      <w:r>
        <w:rPr>
          <w:rFonts w:ascii="宋体" w:hAnsi="宋体" w:eastAsia="宋体" w:cs="宋体"/>
          <w:b/>
          <w:color w:val="auto"/>
          <w:sz w:val="24"/>
        </w:rPr>
        <w:t>分。每小题给出的四个选项中，只有一项是符合题目要求的。</w:t>
      </w:r>
    </w:p>
    <w:p>
      <w:pPr>
        <w:spacing w:line="360" w:lineRule="auto"/>
        <w:ind w:firstLine="420"/>
        <w:jc w:val="left"/>
        <w:textAlignment w:val="center"/>
      </w:pPr>
      <w:r>
        <w:rPr>
          <w:rFonts w:ascii="Times New Roman" w:hAnsi="Times New Roman" w:eastAsia="Times New Roman" w:cs="Times New Roman"/>
          <w:color w:val="auto"/>
        </w:rPr>
        <w:t>M</w:t>
      </w:r>
      <w:r>
        <w:rPr>
          <w:rFonts w:ascii="楷体" w:hAnsi="楷体" w:eastAsia="楷体" w:cs="楷体"/>
          <w:color w:val="auto"/>
        </w:rPr>
        <w:t>县在制定县域内经济发展方案时规划将某个村实行生态搬迁（如图）。据此，完成下面小题。</w:t>
      </w:r>
    </w:p>
    <w:p>
      <w:pPr>
        <w:spacing w:line="360" w:lineRule="auto"/>
        <w:jc w:val="left"/>
        <w:textAlignment w:val="center"/>
      </w:pPr>
      <w:r>
        <w:drawing>
          <wp:inline distT="0" distB="0" distL="114300" distR="114300">
            <wp:extent cx="3248025" cy="19335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制约图示区域资源环境承载力高低的主要因素是（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矿产资源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水资源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土地资源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生物资源</w:t>
      </w:r>
    </w:p>
    <w:p>
      <w:pPr>
        <w:spacing w:line="360" w:lineRule="auto"/>
        <w:jc w:val="left"/>
        <w:textAlignment w:val="center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考虑环境承载力等因素，该村最适宜选址在（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甲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乙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丙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丁</w:t>
      </w:r>
    </w:p>
    <w:p>
      <w:pPr>
        <w:spacing w:line="360" w:lineRule="auto"/>
        <w:jc w:val="left"/>
        <w:textAlignment w:val="center"/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该生态搬迁工程成功实施后将会（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>
      <w:pPr>
        <w:spacing w:line="360" w:lineRule="auto"/>
        <w:jc w:val="left"/>
        <w:textAlignment w:val="center"/>
      </w:pPr>
      <w:r>
        <w:rPr>
          <w:rFonts w:ascii="宋体" w:hAnsi="宋体" w:eastAsia="宋体" w:cs="宋体"/>
          <w:color w:val="auto"/>
        </w:rPr>
        <w:t>①促进迁入地的资源开发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②缓解迁出地人口老龄化程度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③减轻迁入地的就业压力</w:t>
      </w:r>
      <w:r>
        <w:rPr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④加快迁出地人口的发家致富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①②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②③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③④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①④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读某城市劳动力在各行业中的百分比图（左图）和城镇人口占总人口比重变化图（右图），回答下面各题。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05000" cy="164782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666875" cy="12287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若左图中甲、乙表示不同城市化阶段的就业比重状况，其中乙处在右图中的哪个阶段（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③时段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④时段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⑤时段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⑥时段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若左图中甲、乙代表世界上两类国家（发达国家和发展中国家），有关甲、乙叙述正确的是（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甲代表发展中国家，城市化水平低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乙代表发达国家，城市化水平高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乙国目前城市化速度较快，城市环境质量高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甲国城市化速度缓慢，出现逆城市化现象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梅山文化是湘中雪峰山地区的特色地域文化，其傩（</w:t>
      </w:r>
      <w:r>
        <w:rPr>
          <w:rFonts w:ascii="Times New Roman" w:hAnsi="Times New Roman" w:eastAsia="Times New Roman" w:cs="Times New Roman"/>
          <w:color w:val="000000"/>
        </w:rPr>
        <w:t>nuó</w:t>
      </w:r>
      <w:r>
        <w:rPr>
          <w:rFonts w:ascii="楷体" w:hAnsi="楷体" w:eastAsia="楷体" w:cs="楷体"/>
          <w:color w:val="000000"/>
        </w:rPr>
        <w:t>）戏、山歌等文化遗产分布与自然环境关系密切。据此完成下面小题。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梅山地区山歌高亢嘹亮、曲调悠长，与其形成关联性最强的自然背景是（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平原广阔，人口稠密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山丘广布，聚落分散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夏季高温，降水充沛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河湖密布，渔业发达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傩戏、山歌等民俗文化在梅山地区长期保存且特色鲜明，主要得益于（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交通闭塞，外来干扰少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经济发达，文化投入足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政策扶持，保护力度大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人口稠密，传承基础好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宁夏回族自治区吴忠市盐池县地处西北内陆干旱半干旱区，依托区域盐碱化湿地（水塘）资源禀赋，因地制宜发展虾蟹特色水产养殖业，产品主要面向我国东部沿海消费市场。该地纬度较高，年均温偏低，水体生长季积温较少，虾蟹生长周期更长，形成了独特的产业比较优势。下图为宁夏回族自治区局部区域图及盐池县虾蟹养殖项目示意图。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62225" cy="2381250"/>
            <wp:effectExtent l="0" t="0" r="9525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drawing>
          <wp:inline distT="0" distB="0" distL="114300" distR="114300">
            <wp:extent cx="2209800" cy="204787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与浙江沿海水产养殖相比，宁夏盐池县盐碱地水塘虾蟹养殖的突出优势是（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临近消费市场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虾蟹生长周期短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产品品质优良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寒潮冻害影响小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提升盐池县虾蟹产品竞争力的根本措施是（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扩大养殖规模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推动绿色生态养殖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加强品牌宣传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拓展电商销售渠道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我国某公司在埃及按照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上下游产业链完整、关联产业配套齐全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的总体思路布局，逐步形成纺纱、织布、印染、成衣制造、绣花、印花、辅料、鞋帽等生产及贸易，仓储物流、电子商务等关联产业（培训、医疗、金融、会展、酒店、办公、研发等）融合发展的产业格局，建成产业聚集的新型现代化产业园区。据此，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纺纱、织布、印染、成衣制造等企业在产业园区集聚，有利于（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①减少生产环节</w:t>
      </w:r>
      <w:r>
        <w:rPr>
          <w:color w:val="000000"/>
        </w:rPr>
        <w:t xml:space="preserve">            </w:t>
      </w:r>
      <w:r>
        <w:rPr>
          <w:rFonts w:ascii="宋体" w:hAnsi="宋体" w:eastAsia="宋体" w:cs="宋体"/>
          <w:color w:val="000000"/>
        </w:rPr>
        <w:t>②提高品牌效益</w:t>
      </w:r>
      <w:r>
        <w:rPr>
          <w:color w:val="000000"/>
        </w:rPr>
        <w:t xml:space="preserve">            </w:t>
      </w:r>
      <w:r>
        <w:rPr>
          <w:rFonts w:ascii="宋体" w:hAnsi="宋体" w:eastAsia="宋体" w:cs="宋体"/>
          <w:color w:val="000000"/>
        </w:rPr>
        <w:t>③降低生产成本</w:t>
      </w:r>
      <w:r>
        <w:rPr>
          <w:color w:val="000000"/>
        </w:rPr>
        <w:t xml:space="preserve">            </w:t>
      </w:r>
      <w:r>
        <w:rPr>
          <w:rFonts w:ascii="宋体" w:hAnsi="宋体" w:eastAsia="宋体" w:cs="宋体"/>
          <w:color w:val="000000"/>
        </w:rPr>
        <w:t>④加强企业联系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②④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③④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该公司在产业园中配备仓储物流的作用主要是（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及时响应市场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共享基础设施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丰富生产类型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完善产业结构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单行道是指只允许车辆沿一个方向行驶的道路。与东部沿海大城市的单行道不同，宁夏银川市较多采用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楷体" w:hAnsi="楷体" w:eastAsia="楷体" w:cs="楷体"/>
          <w:color w:val="000000"/>
        </w:rPr>
        <w:t>单向通行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楷体" w:hAnsi="楷体" w:eastAsia="楷体" w:cs="楷体"/>
          <w:color w:val="000000"/>
        </w:rPr>
        <w:t>公交逆向专用</w:t>
      </w:r>
      <w:r>
        <w:rPr>
          <w:rFonts w:ascii="宋体" w:hAnsi="宋体" w:eastAsia="宋体" w:cs="宋体"/>
          <w:color w:val="000000"/>
        </w:rPr>
        <w:t>”</w:t>
      </w:r>
      <w:r>
        <w:rPr>
          <w:rFonts w:ascii="楷体" w:hAnsi="楷体" w:eastAsia="楷体" w:cs="楷体"/>
          <w:color w:val="000000"/>
        </w:rPr>
        <w:t>模式：在常规单向通行的道路上，保留一条逆向车道，仅供公交车行驶。下图示意银川局部单行道分布。据此完成下面小题。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24275" cy="1990725"/>
            <wp:effectExtent l="0" t="0" r="9525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南薰路、长城路在清和街以东路段不设置单行道，主要是为了（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减少信号灯交叉口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减少交通事故发生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疏解对外交通压力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促进沿街商业发展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与东部沿海大城市的单行道不同，银川市较多采用“单向通行</w:t>
      </w:r>
      <w:r>
        <w:rPr>
          <w:rFonts w:ascii="Times New Roman" w:hAnsi="Times New Roman" w:eastAsia="Times New Roman" w:cs="Times New Roman"/>
          <w:color w:val="000000"/>
        </w:rPr>
        <w:t>+</w:t>
      </w:r>
      <w:r>
        <w:rPr>
          <w:rFonts w:ascii="宋体" w:hAnsi="宋体" w:eastAsia="宋体" w:cs="宋体"/>
          <w:color w:val="000000"/>
        </w:rPr>
        <w:t>公交逆向专用”模式，可能主要基于（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地面公交运输压力大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通勤出行方向性强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城市道路路幅更宽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低碳出行意识更强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为提高对向公交车道的利用率，建议（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允许早晚高峰小汽车驶入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允许早晚高峰时段非机动车驶入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周边公交向该路段改道汇集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增加该路段的公交行驶线路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随着工业园区的发展，园区餐厨垃圾、绿化垃圾等逐渐增多，增加了环境压力。下图为某地工业园区餐厨垃圾处理托管服务模式示意图。据此完成下面小题。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00375" cy="282892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该模式设计的主要思路是（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循环利用，减少餐厨垃圾产生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循环利用，减少污染物外排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专业托管，提高治理污染成本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低碳生活，提高能源利用率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该模式对餐厨垃圾进行资源化利用主要体现了可持续发展的（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公平性原则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持续性原则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共同性原则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阶段性原则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II</w:t>
      </w:r>
      <w:r>
        <w:rPr>
          <w:rFonts w:ascii="宋体" w:hAnsi="宋体" w:eastAsia="宋体" w:cs="宋体"/>
          <w:b/>
          <w:color w:val="000000"/>
          <w:sz w:val="24"/>
        </w:rPr>
        <w:t>卷（非选择题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</w:t>
      </w:r>
      <w:r>
        <w:rPr>
          <w:rFonts w:ascii="宋体" w:hAnsi="宋体" w:eastAsia="宋体" w:cs="宋体"/>
          <w:b/>
          <w:color w:val="000000"/>
          <w:sz w:val="24"/>
        </w:rPr>
        <w:t>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二、综合题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下图为我国华北平原某城市空间布局，读图完成下列各题。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76650" cy="212407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分析该城市最初形成的主要区位条件。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简述图中甲区域布局工业区的合理性。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随着城市化的发展，该城市规划建设新城，分析在东北部建设新城的优缺点。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材料一：榴莲是一种对生长环境要求极为苛刻的水果，需要长期的高温和潮湿的环境，不耐涝，枝干脆弱易折，一般是人工采摘。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材料二：尖竹汶（图中阴影部分）是泰国榴莲主要产区，昆明的一家公司在该地建立了榴莲加工厂，生产冻干榴莲和速冻榴莲果肉等，产品主要销往中国。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材料三：近年来我国海南、广西、广东等地积极试种国产榴莲，其中海南榴莲的种植面积已接近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楷体" w:hAnsi="楷体" w:eastAsia="楷体" w:cs="楷体"/>
          <w:color w:val="000000"/>
        </w:rPr>
        <w:t>万亩，今年的产量较去年已提升两至三倍，达到约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楷体" w:hAnsi="楷体" w:eastAsia="楷体" w:cs="楷体"/>
          <w:color w:val="000000"/>
        </w:rPr>
        <w:t>吨左右。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29075" cy="385762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从气候角度分析泰国榴莲主要产区的优势区位条件。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分析昆明公司选择在尖竹汶建立榴莲加工厂的主要原因。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有人认为国产榴莲上市会促使国内榴莲市场价格大幅下降，你是否赞同，表明观点并说明理由。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楷体" w:hAnsi="楷体" w:eastAsia="楷体" w:cs="楷体"/>
          <w:color w:val="000000"/>
        </w:rPr>
        <w:t>读图文材料，回答问题。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《京津冀协同发展规划纲要》明确了京、津、冀在协同发展中的战略定位。（如下图文字所示）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24350" cy="26098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（1）上图中﻿﻿所示内容是京、津、冀的产业发展定位，请分别列举三地实现各自产业发展定位最具优势的一项区位条件。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（2）为实现天津市“北方国际航运核心区”的定位，天津港将原有的煤炭、石油、矿石运输业务分别转移到周边其他港口（秦皇岛港、黄骅港、唐山港）。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这对天津港和周边其他港口分别有何好处?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（3）河北省为落实“京津冀生态环境支撑区”的定位，因地制宜采取了相应措施。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为保护生态环境，河北省的山区和平原地区在农业方面应分别采取何种措施？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阅读图文材料，完成下列要求。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钱凯港位于秘鲁中部的钱凯湾，距首都利马约</w:t>
      </w:r>
      <w:r>
        <w:rPr>
          <w:rFonts w:ascii="Times New Roman" w:hAnsi="Times New Roman" w:eastAsia="Times New Roman" w:cs="Times New Roman"/>
          <w:color w:val="000000"/>
        </w:rPr>
        <w:t>80</w:t>
      </w:r>
      <w:r>
        <w:rPr>
          <w:rFonts w:ascii="楷体" w:hAnsi="楷体" w:eastAsia="楷体" w:cs="楷体"/>
          <w:color w:val="000000"/>
        </w:rPr>
        <w:t>公里，是南太平洋沿岸重要的天然深水良港。</w:t>
      </w:r>
      <w:r>
        <w:rPr>
          <w:rFonts w:ascii="Times New Roman" w:hAnsi="Times New Roman" w:eastAsia="Times New Roman" w:cs="Times New Roman"/>
          <w:color w:val="000000"/>
        </w:rPr>
        <w:t>2024</w:t>
      </w:r>
      <w:r>
        <w:rPr>
          <w:rFonts w:ascii="楷体" w:hAnsi="楷体" w:eastAsia="楷体" w:cs="楷体"/>
          <w:color w:val="000000"/>
        </w:rPr>
        <w:t>年，由中国援建的钱凯港一期工程竣工，该港可停靠超大型集装箱船，并配套建设了连接利马及泛美公路的疏港公路。钱凯港的建成将显著缩短南美至亚洲的航运时间，推动秘鲁及周边国家与中国的贸易往来，并带动临港工业、物流等产业发展。下图为利马和钱凯港位置示意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66975" cy="2562225"/>
            <wp:effectExtent l="0" t="0" r="9525" b="9525"/>
            <wp:docPr id="992990338" name="图片 9929903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90338" name="图片 9929903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结合材料，分析中国选择在秘鲁钱凯湾建设大型港口的有利区位条件。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从交通运输发展的角度，说明钱凯港的建成对秘鲁区域经济发展的积极影响。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有人认为“钱凯港的建设可能导致利马港的货运量下降”。你是否赞同？请说明理由。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  <w:r>
      <w:drawing>
        <wp:inline distT="0" distB="0" distL="0" distR="0">
          <wp:extent cx="719455" cy="287655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drawing>
        <wp:inline distT="0" distB="0" distL="0" distR="0">
          <wp:extent cx="727075" cy="287655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3" r:href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3831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2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4" Type="http://schemas.openxmlformats.org/officeDocument/2006/relationships/image" Target="file:///D:\qq&#25991;&#20214;\712321467\Image\C2C\Image2\%257B75232B38-A165-1FB7-499C-2E1C792CACB5%257D.png" TargetMode="External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2026-07-14T22:53:00Z</dcterms:created>
  <dc:creator>学科网试题生产平台</dc:creator>
  <dc:description>4056444325217280</dc:description>
  <cp:lastModifiedBy>Deledy</cp:lastModifiedBy>
  <dcterms:modified xsi:type="dcterms:W3CDTF">2026-07-15T07:38:59Z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2052-11.8.2.12055</vt:lpwstr>
  </property>
  <property fmtid="{D5CDD505-2E9C-101B-9397-08002B2CF9AE}" pid="7" name="ICV">
    <vt:lpwstr>212A542C1A9646268E11C43C74ABFA8E</vt:lpwstr>
  </property>
</Properties>
</file>