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11023600</wp:posOffset>
            </wp:positionH>
            <wp:positionV relativeFrom="topMargin">
              <wp:posOffset>10718800</wp:posOffset>
            </wp:positionV>
            <wp:extent cx="457200" cy="4953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457200" cy="4953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12319000</wp:posOffset>
            </wp:positionH>
            <wp:positionV relativeFrom="topMargin">
              <wp:posOffset>12522200</wp:posOffset>
            </wp:positionV>
            <wp:extent cx="355600" cy="330200"/>
            <wp:effectExtent l="0" t="0" r="6350" b="12700"/>
            <wp:wrapNone/>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55600" cy="330200"/>
                    </a:xfrm>
                    <a:prstGeom prst="rect">
                      <a:avLst/>
                    </a:prstGeom>
                  </pic:spPr>
                </pic:pic>
              </a:graphicData>
            </a:graphic>
          </wp:anchor>
        </w:drawing>
      </w:r>
      <w:r>
        <w:rPr>
          <w:rFonts w:ascii="宋体" w:hAnsi="宋体" w:eastAsia="宋体" w:cs="宋体"/>
          <w:b/>
          <w:color w:val="auto"/>
          <w:sz w:val="32"/>
        </w:rPr>
        <w:t>高二地理</w:t>
      </w:r>
    </w:p>
    <w:p>
      <w:pPr>
        <w:spacing w:line="360" w:lineRule="auto"/>
        <w:jc w:val="center"/>
        <w:textAlignment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分，考试用时</w:t>
      </w:r>
      <w:r>
        <w:rPr>
          <w:rFonts w:ascii="Times New Roman" w:hAnsi="Times New Roman" w:eastAsia="Times New Roman" w:cs="Times New Roman"/>
          <w:b/>
          <w:color w:val="auto"/>
          <w:sz w:val="24"/>
        </w:rPr>
        <w:t>75</w:t>
      </w:r>
      <w:r>
        <w:rPr>
          <w:rFonts w:ascii="宋体" w:hAnsi="宋体" w:eastAsia="宋体" w:cs="宋体"/>
          <w:b/>
          <w:color w:val="auto"/>
          <w:sz w:val="24"/>
        </w:rPr>
        <w:t>分钟。</w:t>
      </w:r>
    </w:p>
    <w:p>
      <w:pPr>
        <w:spacing w:line="360" w:lineRule="auto"/>
        <w:jc w:val="left"/>
        <w:textAlignment w:val="center"/>
      </w:pPr>
      <w:r>
        <w:rPr>
          <w:rFonts w:ascii="宋体" w:hAnsi="宋体" w:eastAsia="宋体" w:cs="宋体"/>
          <w:b/>
          <w:color w:val="auto"/>
          <w:sz w:val="24"/>
        </w:rPr>
        <w:t>注意事项：</w:t>
      </w:r>
    </w:p>
    <w:p>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．答题前，考生务必将自己的姓名、考生号、考场号、座位号填写在答题卡上。</w:t>
      </w:r>
    </w:p>
    <w:p>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jc w:val="left"/>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360" w:lineRule="auto"/>
        <w:jc w:val="left"/>
        <w:textAlignment w:val="center"/>
      </w:pPr>
      <w:r>
        <w:rPr>
          <w:rFonts w:ascii="Times New Roman" w:hAnsi="Times New Roman" w:eastAsia="Times New Roman" w:cs="Times New Roman"/>
          <w:b/>
          <w:color w:val="auto"/>
          <w:sz w:val="24"/>
        </w:rPr>
        <w:t>4</w:t>
      </w:r>
      <w:r>
        <w:rPr>
          <w:rFonts w:ascii="宋体" w:hAnsi="宋体" w:eastAsia="宋体" w:cs="宋体"/>
          <w:b/>
          <w:color w:val="auto"/>
          <w:sz w:val="24"/>
        </w:rPr>
        <w:t>．本试卷主要考试内容：高考全部内容。</w:t>
      </w:r>
    </w:p>
    <w:p>
      <w:pPr>
        <w:spacing w:line="360" w:lineRule="auto"/>
        <w:jc w:val="left"/>
        <w:textAlignment w:val="center"/>
      </w:pPr>
      <w:r>
        <w:rPr>
          <w:rFonts w:ascii="宋体" w:hAnsi="宋体" w:eastAsia="宋体" w:cs="宋体"/>
          <w:b/>
          <w:color w:val="auto"/>
          <w:sz w:val="24"/>
        </w:rPr>
        <w:t>一、选择题：本题包括</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分。每小题只有一个选项符合题意。</w:t>
      </w:r>
    </w:p>
    <w:p>
      <w:pPr>
        <w:spacing w:line="360" w:lineRule="auto"/>
        <w:ind w:firstLine="420"/>
        <w:jc w:val="left"/>
        <w:textAlignment w:val="center"/>
      </w:pPr>
      <w:r>
        <w:rPr>
          <w:rFonts w:ascii="楷体" w:hAnsi="楷体" w:eastAsia="楷体" w:cs="楷体"/>
          <w:color w:val="auto"/>
        </w:rPr>
        <w:t>孟加拉湾连接了南亚和东南亚，自古以来就是中国通往印度洋的重要廊道，也是共建</w:t>
      </w:r>
      <w:r>
        <w:rPr>
          <w:rFonts w:ascii="宋体" w:hAnsi="宋体" w:eastAsia="宋体" w:cs="宋体"/>
          <w:color w:val="auto"/>
        </w:rPr>
        <w:t>“</w:t>
      </w:r>
      <w:r>
        <w:rPr>
          <w:rFonts w:ascii="楷体" w:hAnsi="楷体" w:eastAsia="楷体" w:cs="楷体"/>
          <w:color w:val="auto"/>
        </w:rPr>
        <w:t>一带一路</w:t>
      </w:r>
      <w:r>
        <w:rPr>
          <w:rFonts w:ascii="宋体" w:hAnsi="宋体" w:eastAsia="宋体" w:cs="宋体"/>
          <w:color w:val="auto"/>
        </w:rPr>
        <w:t>”</w:t>
      </w:r>
      <w:r>
        <w:rPr>
          <w:rFonts w:ascii="楷体" w:hAnsi="楷体" w:eastAsia="楷体" w:cs="楷体"/>
          <w:color w:val="auto"/>
        </w:rPr>
        <w:t>至关重要的节点。近年来，中国与孟加拉湾沿岸国家的贸易关系日益密切。下图示意</w:t>
      </w:r>
      <w:r>
        <w:rPr>
          <w:rFonts w:ascii="Times New Roman" w:hAnsi="Times New Roman" w:eastAsia="Times New Roman" w:cs="Times New Roman"/>
          <w:color w:val="auto"/>
        </w:rPr>
        <w:t>1995—2021</w:t>
      </w:r>
      <w:r>
        <w:rPr>
          <w:rFonts w:ascii="楷体" w:hAnsi="楷体" w:eastAsia="楷体" w:cs="楷体"/>
          <w:color w:val="auto"/>
        </w:rPr>
        <w:t>年中国对孟加拉湾沿岸国家的进出口情况。据此完成下面小题。</w:t>
      </w:r>
    </w:p>
    <w:p>
      <w:pPr>
        <w:spacing w:line="360" w:lineRule="auto"/>
        <w:jc w:val="left"/>
        <w:textAlignment w:val="center"/>
      </w:pPr>
      <w:r>
        <w:drawing>
          <wp:inline distT="0" distB="0" distL="114300" distR="114300">
            <wp:extent cx="4667250" cy="22479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667250" cy="2247900"/>
                    </a:xfrm>
                    <a:prstGeom prst="rect">
                      <a:avLst/>
                    </a:prstGeom>
                  </pic:spPr>
                </pic:pic>
              </a:graphicData>
            </a:graphic>
          </wp:inline>
        </w:drawing>
      </w:r>
    </w:p>
    <w:p>
      <w:pPr>
        <w:spacing w:line="360" w:lineRule="auto"/>
        <w:jc w:val="left"/>
        <w:textAlignment w:val="center"/>
      </w:pPr>
      <w:r>
        <w:rPr>
          <w:color w:val="auto"/>
        </w:rPr>
        <w:t xml:space="preserve">1. </w:t>
      </w:r>
      <w:r>
        <w:rPr>
          <w:rFonts w:ascii="Times New Roman" w:hAnsi="Times New Roman" w:eastAsia="Times New Roman" w:cs="Times New Roman"/>
          <w:color w:val="auto"/>
        </w:rPr>
        <w:t>1995—2021</w:t>
      </w:r>
      <w:r>
        <w:rPr>
          <w:rFonts w:ascii="宋体" w:hAnsi="宋体" w:eastAsia="宋体" w:cs="宋体"/>
          <w:color w:val="auto"/>
        </w:rPr>
        <w:t>年，中国在与孟加拉湾沿岸国家的贸易过程中（</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贸易总额总体下降</w:t>
      </w:r>
      <w:r>
        <w:tab/>
      </w:r>
      <w:r>
        <w:t xml:space="preserve">B. </w:t>
      </w:r>
      <w:r>
        <w:rPr>
          <w:rFonts w:ascii="宋体" w:hAnsi="宋体" w:eastAsia="宋体" w:cs="宋体"/>
          <w:color w:val="auto"/>
        </w:rPr>
        <w:t>始终处于贸易逆差</w:t>
      </w:r>
    </w:p>
    <w:p>
      <w:pPr>
        <w:tabs>
          <w:tab w:val="left" w:pos="4873"/>
        </w:tabs>
        <w:spacing w:line="360" w:lineRule="auto"/>
        <w:jc w:val="left"/>
        <w:textAlignment w:val="center"/>
        <w:rPr>
          <w:color w:val="auto"/>
        </w:rPr>
      </w:pPr>
      <w:r>
        <w:t xml:space="preserve">C. </w:t>
      </w:r>
      <w:r>
        <w:rPr>
          <w:rFonts w:ascii="宋体" w:hAnsi="宋体" w:eastAsia="宋体" w:cs="宋体"/>
          <w:color w:val="auto"/>
        </w:rPr>
        <w:t>进、出口增速同步</w:t>
      </w:r>
      <w:r>
        <w:tab/>
      </w:r>
      <w:r>
        <w:t xml:space="preserve">D. </w:t>
      </w:r>
      <w:r>
        <w:rPr>
          <w:rFonts w:ascii="宋体" w:hAnsi="宋体" w:eastAsia="宋体" w:cs="宋体"/>
          <w:color w:val="auto"/>
        </w:rPr>
        <w:t>贸易顺差整体扩大</w:t>
      </w:r>
    </w:p>
    <w:p>
      <w:pPr>
        <w:spacing w:line="360" w:lineRule="auto"/>
        <w:jc w:val="left"/>
        <w:textAlignment w:val="center"/>
      </w:pPr>
      <w:r>
        <w:rPr>
          <w:color w:val="auto"/>
        </w:rPr>
        <w:t xml:space="preserve">2. </w:t>
      </w:r>
      <w:r>
        <w:rPr>
          <w:rFonts w:ascii="宋体" w:hAnsi="宋体" w:eastAsia="宋体" w:cs="宋体"/>
          <w:color w:val="auto"/>
        </w:rPr>
        <w:t>中国对孟加拉湾沿岸国家出口较多的产品可能为（</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auto"/>
        </w:rPr>
      </w:pPr>
      <w:r>
        <w:t xml:space="preserve">A. </w:t>
      </w:r>
      <w:r>
        <w:rPr>
          <w:rFonts w:ascii="宋体" w:hAnsi="宋体" w:eastAsia="宋体" w:cs="宋体"/>
          <w:color w:val="auto"/>
        </w:rPr>
        <w:t>钢铁制品</w:t>
      </w:r>
      <w:r>
        <w:tab/>
      </w:r>
      <w:r>
        <w:t xml:space="preserve">B. </w:t>
      </w:r>
      <w:r>
        <w:rPr>
          <w:rFonts w:ascii="宋体" w:hAnsi="宋体" w:eastAsia="宋体" w:cs="宋体"/>
          <w:color w:val="auto"/>
        </w:rPr>
        <w:t>橡胶制品</w:t>
      </w:r>
      <w:r>
        <w:tab/>
      </w:r>
      <w:r>
        <w:t xml:space="preserve">C. </w:t>
      </w:r>
      <w:r>
        <w:rPr>
          <w:rFonts w:ascii="宋体" w:hAnsi="宋体" w:eastAsia="宋体" w:cs="宋体"/>
          <w:color w:val="auto"/>
        </w:rPr>
        <w:t>木制家具</w:t>
      </w:r>
      <w:r>
        <w:tab/>
      </w:r>
      <w:r>
        <w:t xml:space="preserve">D. </w:t>
      </w:r>
      <w:r>
        <w:rPr>
          <w:rFonts w:ascii="宋体" w:hAnsi="宋体" w:eastAsia="宋体" w:cs="宋体"/>
          <w:color w:val="auto"/>
        </w:rPr>
        <w:t>热带水果</w:t>
      </w:r>
    </w:p>
    <w:p>
      <w:pPr>
        <w:spacing w:line="360" w:lineRule="auto"/>
        <w:jc w:val="left"/>
        <w:textAlignment w:val="center"/>
      </w:pPr>
      <w:r>
        <w:rPr>
          <w:color w:val="auto"/>
        </w:rPr>
        <w:t xml:space="preserve">3. </w:t>
      </w:r>
      <w:r>
        <w:rPr>
          <w:rFonts w:ascii="宋体" w:hAnsi="宋体" w:eastAsia="宋体" w:cs="宋体"/>
          <w:color w:val="auto"/>
        </w:rPr>
        <w:t>为推动中国与孟加拉湾沿岸国家经贸合作高质量、可持续发展，中国应采取的措施是（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减少工业制品出口</w:t>
      </w:r>
      <w:r>
        <w:tab/>
      </w:r>
      <w:r>
        <w:t xml:space="preserve">B. </w:t>
      </w:r>
      <w:r>
        <w:rPr>
          <w:rFonts w:ascii="宋体" w:hAnsi="宋体" w:eastAsia="宋体" w:cs="宋体"/>
          <w:color w:val="auto"/>
        </w:rPr>
        <w:t>限制资源型产品出口</w:t>
      </w:r>
    </w:p>
    <w:p>
      <w:pPr>
        <w:tabs>
          <w:tab w:val="left" w:pos="4873"/>
        </w:tabs>
        <w:spacing w:line="360" w:lineRule="auto"/>
        <w:jc w:val="left"/>
        <w:textAlignment w:val="center"/>
        <w:rPr>
          <w:color w:val="000000"/>
        </w:rPr>
      </w:pPr>
      <w:r>
        <w:t xml:space="preserve">C. </w:t>
      </w:r>
      <w:r>
        <w:rPr>
          <w:rFonts w:ascii="宋体" w:hAnsi="宋体" w:eastAsia="宋体" w:cs="宋体"/>
          <w:color w:val="auto"/>
        </w:rPr>
        <w:t>共建产业合作基地</w:t>
      </w:r>
      <w:r>
        <w:tab/>
      </w:r>
      <w:r>
        <w:t xml:space="preserve">D. </w:t>
      </w:r>
      <w:r>
        <w:rPr>
          <w:rFonts w:ascii="宋体" w:hAnsi="宋体" w:eastAsia="宋体" w:cs="宋体"/>
          <w:color w:val="auto"/>
        </w:rPr>
        <w:t>扩大初级农产品出口</w:t>
      </w:r>
    </w:p>
    <w:p>
      <w:pPr>
        <w:spacing w:line="360" w:lineRule="auto"/>
        <w:ind w:firstLine="420"/>
        <w:jc w:val="left"/>
        <w:textAlignment w:val="center"/>
        <w:rPr>
          <w:color w:val="000000"/>
        </w:rPr>
      </w:pPr>
      <w:r>
        <w:rPr>
          <w:rFonts w:ascii="Times New Roman" w:hAnsi="Times New Roman" w:eastAsia="Times New Roman" w:cs="Times New Roman"/>
          <w:color w:val="000000"/>
        </w:rPr>
        <w:t>2025</w:t>
      </w:r>
      <w:r>
        <w:rPr>
          <w:rFonts w:ascii="楷体" w:hAnsi="楷体" w:eastAsia="楷体" w:cs="楷体"/>
          <w:color w:val="000000"/>
        </w:rPr>
        <w:t>年</w:t>
      </w:r>
      <w:r>
        <w:rPr>
          <w:rFonts w:ascii="Times New Roman" w:hAnsi="Times New Roman" w:eastAsia="Times New Roman" w:cs="Times New Roman"/>
          <w:color w:val="000000"/>
        </w:rPr>
        <w:t>7</w:t>
      </w:r>
      <w:r>
        <w:rPr>
          <w:rFonts w:ascii="楷体" w:hAnsi="楷体" w:eastAsia="楷体" w:cs="楷体"/>
          <w:color w:val="000000"/>
        </w:rPr>
        <w:t>月</w:t>
      </w:r>
      <w:r>
        <w:rPr>
          <w:rFonts w:ascii="Times New Roman" w:hAnsi="Times New Roman" w:eastAsia="Times New Roman" w:cs="Times New Roman"/>
          <w:color w:val="000000"/>
        </w:rPr>
        <w:t>19</w:t>
      </w:r>
      <w:r>
        <w:rPr>
          <w:rFonts w:ascii="楷体" w:hAnsi="楷体" w:eastAsia="楷体" w:cs="楷体"/>
          <w:color w:val="000000"/>
        </w:rPr>
        <w:t>日，雅鲁藏布江下游水电工程开工仪式在西藏自治区林芝市举行。该工程计划采用截弯取直、隧洞引水的开发方式，建设</w:t>
      </w:r>
      <w:r>
        <w:rPr>
          <w:rFonts w:ascii="Times New Roman" w:hAnsi="Times New Roman" w:eastAsia="Times New Roman" w:cs="Times New Roman"/>
          <w:color w:val="000000"/>
        </w:rPr>
        <w:t>5</w:t>
      </w:r>
      <w:r>
        <w:rPr>
          <w:rFonts w:ascii="楷体" w:hAnsi="楷体" w:eastAsia="楷体" w:cs="楷体"/>
          <w:color w:val="000000"/>
        </w:rPr>
        <w:t>座梯级电站，总投资约</w:t>
      </w:r>
      <w:r>
        <w:rPr>
          <w:rFonts w:ascii="Times New Roman" w:hAnsi="Times New Roman" w:eastAsia="Times New Roman" w:cs="Times New Roman"/>
          <w:color w:val="000000"/>
        </w:rPr>
        <w:t>1.2</w:t>
      </w:r>
      <w:r>
        <w:rPr>
          <w:rFonts w:ascii="楷体" w:hAnsi="楷体" w:eastAsia="楷体" w:cs="楷体"/>
          <w:color w:val="000000"/>
        </w:rPr>
        <w:t>万亿元。该工程是我国继三峡工程后又一国家级重大水电工程，其发电量相当于</w:t>
      </w:r>
      <w:r>
        <w:rPr>
          <w:rFonts w:ascii="Times New Roman" w:hAnsi="Times New Roman" w:eastAsia="Times New Roman" w:cs="Times New Roman"/>
          <w:color w:val="000000"/>
        </w:rPr>
        <w:t>3</w:t>
      </w:r>
      <w:r>
        <w:rPr>
          <w:rFonts w:ascii="楷体" w:hAnsi="楷体" w:eastAsia="楷体" w:cs="楷体"/>
          <w:color w:val="000000"/>
        </w:rPr>
        <w:t>个三峡工程的总和，每年可满足全国</w:t>
      </w:r>
      <w:r>
        <w:rPr>
          <w:rFonts w:ascii="Times New Roman" w:hAnsi="Times New Roman" w:eastAsia="Times New Roman" w:cs="Times New Roman"/>
          <w:color w:val="000000"/>
        </w:rPr>
        <w:t>3%</w:t>
      </w:r>
      <w:r>
        <w:rPr>
          <w:rFonts w:ascii="楷体" w:hAnsi="楷体" w:eastAsia="楷体" w:cs="楷体"/>
          <w:color w:val="000000"/>
        </w:rPr>
        <w:t>左右的电力需求。下图为该水电工程位置及剖面示意图。据此完成下面小题。</w:t>
      </w:r>
    </w:p>
    <w:p>
      <w:pPr>
        <w:spacing w:line="360" w:lineRule="auto"/>
        <w:jc w:val="left"/>
        <w:textAlignment w:val="center"/>
        <w:rPr>
          <w:color w:val="000000"/>
        </w:rPr>
      </w:pPr>
      <w:r>
        <w:rPr>
          <w:color w:val="000000"/>
        </w:rPr>
        <w:drawing>
          <wp:inline distT="0" distB="0" distL="114300" distR="114300">
            <wp:extent cx="3581400" cy="23050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3581400" cy="2305050"/>
                    </a:xfrm>
                    <a:prstGeom prst="rect">
                      <a:avLst/>
                    </a:prstGeom>
                  </pic:spPr>
                </pic:pic>
              </a:graphicData>
            </a:graphic>
          </wp:inline>
        </w:drawing>
      </w:r>
      <w:r>
        <w:rPr>
          <w:color w:val="000000"/>
        </w:rPr>
        <w:drawing>
          <wp:inline distT="0" distB="0" distL="114300" distR="114300">
            <wp:extent cx="2143125" cy="27527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2143125" cy="275272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hAnsi="宋体" w:eastAsia="宋体" w:cs="宋体"/>
          <w:color w:val="000000"/>
        </w:rPr>
        <w:t>该水电工程采用截弯取直、隧洞引水的开发方式，可以（</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缩短建设工期</w:t>
      </w:r>
      <w:r>
        <w:rPr>
          <w:color w:val="000000"/>
        </w:rPr>
        <w:tab/>
      </w:r>
      <w:r>
        <w:rPr>
          <w:color w:val="000000"/>
        </w:rPr>
        <w:t xml:space="preserve">B. </w:t>
      </w:r>
      <w:r>
        <w:rPr>
          <w:rFonts w:ascii="宋体" w:hAnsi="宋体" w:eastAsia="宋体" w:cs="宋体"/>
          <w:color w:val="000000"/>
        </w:rPr>
        <w:t>集中河流落差</w:t>
      </w:r>
      <w:r>
        <w:rPr>
          <w:color w:val="000000"/>
        </w:rPr>
        <w:tab/>
      </w:r>
      <w:r>
        <w:rPr>
          <w:color w:val="000000"/>
        </w:rPr>
        <w:t xml:space="preserve">C. </w:t>
      </w:r>
      <w:r>
        <w:rPr>
          <w:rFonts w:ascii="宋体" w:hAnsi="宋体" w:eastAsia="宋体" w:cs="宋体"/>
          <w:color w:val="000000"/>
        </w:rPr>
        <w:t>增加径流总量</w:t>
      </w:r>
      <w:r>
        <w:rPr>
          <w:color w:val="000000"/>
        </w:rPr>
        <w:tab/>
      </w:r>
      <w:r>
        <w:rPr>
          <w:color w:val="000000"/>
        </w:rPr>
        <w:t xml:space="preserve">D. </w:t>
      </w:r>
      <w:r>
        <w:rPr>
          <w:rFonts w:ascii="宋体" w:hAnsi="宋体" w:eastAsia="宋体" w:cs="宋体"/>
          <w:color w:val="000000"/>
        </w:rPr>
        <w:t>避免地质灾害</w:t>
      </w:r>
    </w:p>
    <w:p>
      <w:pPr>
        <w:spacing w:line="360" w:lineRule="auto"/>
        <w:jc w:val="left"/>
        <w:textAlignment w:val="center"/>
        <w:rPr>
          <w:color w:val="000000"/>
        </w:rPr>
      </w:pPr>
      <w:r>
        <w:rPr>
          <w:color w:val="000000"/>
        </w:rPr>
        <w:t xml:space="preserve">5. </w:t>
      </w:r>
      <w:r>
        <w:rPr>
          <w:rFonts w:ascii="宋体" w:hAnsi="宋体" w:eastAsia="宋体" w:cs="宋体"/>
          <w:color w:val="000000"/>
        </w:rPr>
        <w:t>该水电工程施工时，面临的最主要自然障碍是（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全年气候寒冷</w:t>
      </w:r>
      <w:r>
        <w:rPr>
          <w:color w:val="000000"/>
        </w:rPr>
        <w:tab/>
      </w:r>
      <w:r>
        <w:rPr>
          <w:color w:val="000000"/>
        </w:rPr>
        <w:t xml:space="preserve">B. </w:t>
      </w:r>
      <w:r>
        <w:rPr>
          <w:rFonts w:ascii="宋体" w:hAnsi="宋体" w:eastAsia="宋体" w:cs="宋体"/>
          <w:color w:val="000000"/>
        </w:rPr>
        <w:t>太阳辐射强烈</w:t>
      </w:r>
      <w:r>
        <w:rPr>
          <w:color w:val="000000"/>
        </w:rPr>
        <w:tab/>
      </w:r>
      <w:r>
        <w:rPr>
          <w:color w:val="000000"/>
        </w:rPr>
        <w:t xml:space="preserve">C. </w:t>
      </w:r>
      <w:r>
        <w:rPr>
          <w:rFonts w:ascii="宋体" w:hAnsi="宋体" w:eastAsia="宋体" w:cs="宋体"/>
          <w:color w:val="000000"/>
        </w:rPr>
        <w:t>地质条件复杂</w:t>
      </w:r>
      <w:r>
        <w:rPr>
          <w:color w:val="000000"/>
        </w:rPr>
        <w:tab/>
      </w:r>
      <w:r>
        <w:rPr>
          <w:color w:val="000000"/>
        </w:rPr>
        <w:t xml:space="preserve">D. </w:t>
      </w:r>
      <w:r>
        <w:rPr>
          <w:rFonts w:ascii="宋体" w:hAnsi="宋体" w:eastAsia="宋体" w:cs="宋体"/>
          <w:color w:val="000000"/>
        </w:rPr>
        <w:t>洪涝灾害多发</w:t>
      </w:r>
    </w:p>
    <w:p>
      <w:pPr>
        <w:spacing w:line="360" w:lineRule="auto"/>
        <w:jc w:val="left"/>
        <w:textAlignment w:val="center"/>
        <w:rPr>
          <w:color w:val="000000"/>
        </w:rPr>
      </w:pPr>
      <w:r>
        <w:rPr>
          <w:color w:val="000000"/>
        </w:rPr>
        <w:t xml:space="preserve">6. </w:t>
      </w:r>
      <w:r>
        <w:rPr>
          <w:rFonts w:ascii="宋体" w:hAnsi="宋体" w:eastAsia="宋体" w:cs="宋体"/>
          <w:color w:val="000000"/>
        </w:rPr>
        <w:t>该水电工程建成后，对我国社会经济发展的主要意义是（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优化能源结构</w:t>
      </w:r>
      <w:r>
        <w:rPr>
          <w:color w:val="000000"/>
        </w:rPr>
        <w:tab/>
      </w:r>
      <w:r>
        <w:rPr>
          <w:color w:val="000000"/>
        </w:rPr>
        <w:t xml:space="preserve">B. </w:t>
      </w:r>
      <w:r>
        <w:rPr>
          <w:rFonts w:ascii="宋体" w:hAnsi="宋体" w:eastAsia="宋体" w:cs="宋体"/>
          <w:color w:val="000000"/>
        </w:rPr>
        <w:t>解决就业问题</w:t>
      </w:r>
      <w:r>
        <w:rPr>
          <w:color w:val="000000"/>
        </w:rPr>
        <w:tab/>
      </w:r>
      <w:r>
        <w:rPr>
          <w:color w:val="000000"/>
        </w:rPr>
        <w:t xml:space="preserve">C. </w:t>
      </w:r>
      <w:r>
        <w:rPr>
          <w:rFonts w:ascii="宋体" w:hAnsi="宋体" w:eastAsia="宋体" w:cs="宋体"/>
          <w:color w:val="000000"/>
        </w:rPr>
        <w:t>调节区域气候</w:t>
      </w:r>
      <w:r>
        <w:rPr>
          <w:color w:val="000000"/>
        </w:rPr>
        <w:tab/>
      </w:r>
      <w:r>
        <w:rPr>
          <w:color w:val="000000"/>
        </w:rPr>
        <w:t xml:space="preserve">D. </w:t>
      </w:r>
      <w:r>
        <w:rPr>
          <w:rFonts w:ascii="宋体" w:hAnsi="宋体" w:eastAsia="宋体" w:cs="宋体"/>
          <w:color w:val="000000"/>
        </w:rPr>
        <w:t>改善交通条件</w:t>
      </w:r>
    </w:p>
    <w:p>
      <w:pPr>
        <w:spacing w:line="360" w:lineRule="auto"/>
        <w:ind w:firstLine="420"/>
        <w:jc w:val="left"/>
        <w:textAlignment w:val="center"/>
        <w:rPr>
          <w:color w:val="000000"/>
        </w:rPr>
      </w:pPr>
      <w:r>
        <w:rPr>
          <w:rFonts w:ascii="楷体" w:hAnsi="楷体" w:eastAsia="楷体" w:cs="楷体"/>
          <w:color w:val="000000"/>
        </w:rPr>
        <w:t>克诺索斯王宫位于地中海克里特岛，建成于距今约</w:t>
      </w:r>
      <w:r>
        <w:rPr>
          <w:rFonts w:ascii="Times New Roman" w:hAnsi="Times New Roman" w:eastAsia="Times New Roman" w:cs="Times New Roman"/>
          <w:color w:val="000000"/>
        </w:rPr>
        <w:t>4000</w:t>
      </w:r>
      <w:r>
        <w:rPr>
          <w:rFonts w:ascii="楷体" w:hAnsi="楷体" w:eastAsia="楷体" w:cs="楷体"/>
          <w:color w:val="000000"/>
        </w:rPr>
        <w:t>年，当时每年特定日期日出之后的第一缕阳光恰好穿过通道从正面照亮王宫内的宝座。距今约</w:t>
      </w:r>
      <w:r>
        <w:rPr>
          <w:rFonts w:ascii="Times New Roman" w:hAnsi="Times New Roman" w:eastAsia="Times New Roman" w:cs="Times New Roman"/>
          <w:color w:val="000000"/>
        </w:rPr>
        <w:t>4000</w:t>
      </w:r>
      <w:r>
        <w:rPr>
          <w:rFonts w:ascii="楷体" w:hAnsi="楷体" w:eastAsia="楷体" w:cs="楷体"/>
          <w:color w:val="000000"/>
        </w:rPr>
        <w:t>年的黄赤交角为</w:t>
      </w:r>
      <w:r>
        <w:rPr>
          <w:rFonts w:ascii="Times New Roman" w:hAnsi="Times New Roman" w:eastAsia="Times New Roman" w:cs="Times New Roman"/>
          <w:color w:val="000000"/>
        </w:rPr>
        <w:t>24°</w:t>
      </w:r>
      <w:r>
        <w:rPr>
          <w:rFonts w:ascii="楷体" w:hAnsi="楷体" w:eastAsia="楷体" w:cs="楷体"/>
          <w:color w:val="000000"/>
        </w:rPr>
        <w:t>。下图示意克诺索斯王宫的布局。据此完成下面小题。</w:t>
      </w:r>
    </w:p>
    <w:p>
      <w:pPr>
        <w:spacing w:line="360" w:lineRule="auto"/>
        <w:jc w:val="left"/>
        <w:textAlignment w:val="center"/>
        <w:rPr>
          <w:color w:val="000000"/>
        </w:rPr>
      </w:pPr>
      <w:r>
        <w:rPr>
          <w:color w:val="000000"/>
        </w:rPr>
        <w:drawing>
          <wp:inline distT="0" distB="0" distL="114300" distR="114300">
            <wp:extent cx="2905125" cy="213360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905125" cy="21336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hAnsi="宋体" w:eastAsia="宋体" w:cs="宋体"/>
          <w:color w:val="000000"/>
        </w:rPr>
        <w:t>克诺索斯王宫内的宝座被日出之后的第一缕阳光正面照亮，当月（</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①太阳直射点位于北半球②太阳直射点位于南半球③克里特岛昼长于夜④克里特岛昼短于夜</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pPr>
        <w:spacing w:line="360" w:lineRule="auto"/>
        <w:jc w:val="left"/>
        <w:textAlignment w:val="center"/>
        <w:rPr>
          <w:color w:val="000000"/>
        </w:rPr>
      </w:pPr>
      <w:r>
        <w:rPr>
          <w:color w:val="000000"/>
        </w:rPr>
        <w:t xml:space="preserve">8. </w:t>
      </w:r>
      <w:r>
        <w:rPr>
          <w:rFonts w:ascii="宋体" w:hAnsi="宋体" w:eastAsia="宋体" w:cs="宋体"/>
          <w:color w:val="000000"/>
        </w:rPr>
        <w:t>与克诺索斯王宫建成时相比，现代夏至日的日出方位（</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略偏北</w:t>
      </w:r>
      <w:r>
        <w:rPr>
          <w:color w:val="000000"/>
        </w:rPr>
        <w:tab/>
      </w:r>
      <w:r>
        <w:rPr>
          <w:color w:val="000000"/>
        </w:rPr>
        <w:t xml:space="preserve">B. </w:t>
      </w:r>
      <w:r>
        <w:rPr>
          <w:rFonts w:ascii="宋体" w:hAnsi="宋体" w:eastAsia="宋体" w:cs="宋体"/>
          <w:color w:val="000000"/>
        </w:rPr>
        <w:t>略偏南</w:t>
      </w:r>
      <w:r>
        <w:rPr>
          <w:color w:val="000000"/>
        </w:rPr>
        <w:tab/>
      </w:r>
      <w:r>
        <w:rPr>
          <w:color w:val="000000"/>
        </w:rPr>
        <w:t xml:space="preserve">C. </w:t>
      </w:r>
      <w:r>
        <w:rPr>
          <w:rFonts w:ascii="宋体" w:hAnsi="宋体" w:eastAsia="宋体" w:cs="宋体"/>
          <w:color w:val="000000"/>
        </w:rPr>
        <w:t>略偏东</w:t>
      </w:r>
      <w:r>
        <w:rPr>
          <w:color w:val="000000"/>
        </w:rPr>
        <w:tab/>
      </w:r>
      <w:r>
        <w:rPr>
          <w:color w:val="000000"/>
        </w:rPr>
        <w:t xml:space="preserve">D. </w:t>
      </w:r>
      <w:r>
        <w:rPr>
          <w:rFonts w:ascii="宋体" w:hAnsi="宋体" w:eastAsia="宋体" w:cs="宋体"/>
          <w:color w:val="000000"/>
        </w:rPr>
        <w:t>略偏西</w:t>
      </w:r>
    </w:p>
    <w:p>
      <w:pPr>
        <w:spacing w:line="360" w:lineRule="auto"/>
        <w:ind w:firstLine="420"/>
        <w:jc w:val="left"/>
        <w:textAlignment w:val="center"/>
        <w:rPr>
          <w:color w:val="000000"/>
        </w:rPr>
      </w:pPr>
      <w:r>
        <w:rPr>
          <w:rFonts w:ascii="楷体" w:hAnsi="楷体" w:eastAsia="楷体" w:cs="楷体"/>
          <w:color w:val="000000"/>
        </w:rPr>
        <w:t>末次冰盛期，全球气候严寒，海平面较现代下降</w:t>
      </w:r>
      <w:r>
        <w:rPr>
          <w:rFonts w:ascii="Times New Roman" w:hAnsi="Times New Roman" w:eastAsia="Times New Roman" w:cs="Times New Roman"/>
          <w:color w:val="000000"/>
        </w:rPr>
        <w:t>150—160m</w:t>
      </w:r>
      <w:r>
        <w:rPr>
          <w:rFonts w:ascii="楷体" w:hAnsi="楷体" w:eastAsia="楷体" w:cs="楷体"/>
          <w:color w:val="000000"/>
        </w:rPr>
        <w:t>，东亚冬季风势力显著偏强、夏季风偏弱，西北太平洋黑潮（暖流）、亲潮（寒流）势力对比与现代差异大，黑潮势力萎缩、分支近乎消亡，亲潮大幅向南拓展（如左图）。气候回暖后，海平面上升，黑潮向北、向西拓展，分支洋流发育完善，逐步形成现代西北太平洋洋流格局（如右图）。据此完成下面小题。</w:t>
      </w:r>
    </w:p>
    <w:p>
      <w:pPr>
        <w:spacing w:line="360" w:lineRule="auto"/>
        <w:jc w:val="left"/>
        <w:textAlignment w:val="center"/>
        <w:rPr>
          <w:color w:val="000000"/>
        </w:rPr>
      </w:pPr>
      <w:r>
        <w:rPr>
          <w:color w:val="000000"/>
        </w:rPr>
        <w:drawing>
          <wp:inline distT="0" distB="0" distL="114300" distR="114300">
            <wp:extent cx="2143125" cy="20097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143125" cy="2009775"/>
                    </a:xfrm>
                    <a:prstGeom prst="rect">
                      <a:avLst/>
                    </a:prstGeom>
                  </pic:spPr>
                </pic:pic>
              </a:graphicData>
            </a:graphic>
          </wp:inline>
        </w:drawing>
      </w:r>
      <w:r>
        <w:rPr>
          <w:color w:val="000000"/>
        </w:rPr>
        <w:t xml:space="preserve">  </w:t>
      </w:r>
      <w:r>
        <w:rPr>
          <w:color w:val="000000"/>
        </w:rPr>
        <w:drawing>
          <wp:inline distT="0" distB="0" distL="114300" distR="114300">
            <wp:extent cx="2009775" cy="18097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2009775" cy="18097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hAnsi="宋体" w:eastAsia="宋体" w:cs="宋体"/>
          <w:color w:val="000000"/>
        </w:rPr>
        <w:t>末次冰盛期，黑潮分支近乎消亡，主要原因是（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海陆格局改变</w:t>
      </w:r>
      <w:r>
        <w:rPr>
          <w:color w:val="000000"/>
        </w:rPr>
        <w:tab/>
      </w:r>
      <w:r>
        <w:rPr>
          <w:color w:val="000000"/>
        </w:rPr>
        <w:t xml:space="preserve">B. </w:t>
      </w:r>
      <w:r>
        <w:rPr>
          <w:rFonts w:ascii="宋体" w:hAnsi="宋体" w:eastAsia="宋体" w:cs="宋体"/>
          <w:color w:val="000000"/>
        </w:rPr>
        <w:t>海水密度差异</w:t>
      </w:r>
      <w:r>
        <w:rPr>
          <w:color w:val="000000"/>
        </w:rPr>
        <w:tab/>
      </w:r>
      <w:r>
        <w:rPr>
          <w:color w:val="000000"/>
        </w:rPr>
        <w:t xml:space="preserve">C. </w:t>
      </w:r>
      <w:r>
        <w:rPr>
          <w:rFonts w:ascii="宋体" w:hAnsi="宋体" w:eastAsia="宋体" w:cs="宋体"/>
          <w:color w:val="000000"/>
        </w:rPr>
        <w:t>潮汐作用减弱</w:t>
      </w:r>
      <w:r>
        <w:rPr>
          <w:color w:val="000000"/>
        </w:rPr>
        <w:tab/>
      </w:r>
      <w:r>
        <w:rPr>
          <w:color w:val="000000"/>
        </w:rPr>
        <w:t xml:space="preserve">D. </w:t>
      </w:r>
      <w:r>
        <w:rPr>
          <w:rFonts w:ascii="宋体" w:hAnsi="宋体" w:eastAsia="宋体" w:cs="宋体"/>
          <w:color w:val="000000"/>
        </w:rPr>
        <w:t>洋流流向逆转</w:t>
      </w:r>
    </w:p>
    <w:p>
      <w:pPr>
        <w:spacing w:line="360" w:lineRule="auto"/>
        <w:jc w:val="left"/>
        <w:textAlignment w:val="center"/>
        <w:rPr>
          <w:color w:val="000000"/>
        </w:rPr>
      </w:pPr>
      <w:r>
        <w:rPr>
          <w:color w:val="000000"/>
        </w:rPr>
        <w:t xml:space="preserve">10. </w:t>
      </w:r>
      <w:r>
        <w:rPr>
          <w:rFonts w:ascii="宋体" w:hAnsi="宋体" w:eastAsia="宋体" w:cs="宋体"/>
          <w:color w:val="000000"/>
        </w:rPr>
        <w:t>末次冰盛期，强冬季风对西北太平洋洋流的直接作用有（</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①改变海水盐度②助推亲潮南下③加深海水深度④压缩黑潮范围</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pPr>
        <w:spacing w:line="360" w:lineRule="auto"/>
        <w:jc w:val="left"/>
        <w:textAlignment w:val="center"/>
        <w:rPr>
          <w:color w:val="000000"/>
        </w:rPr>
      </w:pPr>
      <w:r>
        <w:rPr>
          <w:color w:val="000000"/>
        </w:rPr>
        <w:t xml:space="preserve">11. </w:t>
      </w:r>
      <w:r>
        <w:rPr>
          <w:rFonts w:ascii="宋体" w:hAnsi="宋体" w:eastAsia="宋体" w:cs="宋体"/>
          <w:color w:val="000000"/>
        </w:rPr>
        <w:t>与末次冰盛期相比，现代黑潮（</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势力减弱</w:t>
      </w:r>
      <w:r>
        <w:rPr>
          <w:color w:val="000000"/>
        </w:rPr>
        <w:tab/>
      </w:r>
      <w:r>
        <w:rPr>
          <w:color w:val="000000"/>
        </w:rPr>
        <w:t xml:space="preserve">B. </w:t>
      </w:r>
      <w:r>
        <w:rPr>
          <w:rFonts w:ascii="宋体" w:hAnsi="宋体" w:eastAsia="宋体" w:cs="宋体"/>
          <w:color w:val="000000"/>
        </w:rPr>
        <w:t>位置明显南移</w:t>
      </w:r>
      <w:r>
        <w:rPr>
          <w:color w:val="000000"/>
        </w:rPr>
        <w:tab/>
      </w:r>
      <w:r>
        <w:rPr>
          <w:color w:val="000000"/>
        </w:rPr>
        <w:t xml:space="preserve">C. </w:t>
      </w:r>
      <w:r>
        <w:rPr>
          <w:rFonts w:ascii="宋体" w:hAnsi="宋体" w:eastAsia="宋体" w:cs="宋体"/>
          <w:color w:val="000000"/>
        </w:rPr>
        <w:t>水温更低</w:t>
      </w:r>
      <w:r>
        <w:rPr>
          <w:color w:val="000000"/>
        </w:rPr>
        <w:tab/>
      </w:r>
      <w:r>
        <w:rPr>
          <w:color w:val="000000"/>
        </w:rPr>
        <w:t xml:space="preserve">D. </w:t>
      </w:r>
      <w:r>
        <w:rPr>
          <w:rFonts w:ascii="宋体" w:hAnsi="宋体" w:eastAsia="宋体" w:cs="宋体"/>
          <w:color w:val="000000"/>
        </w:rPr>
        <w:t>影响范围变大</w:t>
      </w:r>
    </w:p>
    <w:p>
      <w:pPr>
        <w:spacing w:line="360" w:lineRule="auto"/>
        <w:ind w:firstLine="420"/>
        <w:jc w:val="left"/>
        <w:textAlignment w:val="center"/>
        <w:rPr>
          <w:color w:val="000000"/>
        </w:rPr>
      </w:pPr>
      <w:r>
        <w:rPr>
          <w:rFonts w:ascii="楷体" w:hAnsi="楷体" w:eastAsia="楷体" w:cs="楷体"/>
          <w:color w:val="000000"/>
        </w:rPr>
        <w:t>臭氧可以强烈吸收紫外线，是重要的温室气体。臭氧在对流层和平流层之间的交换受大气运动的影响，会改变大气垂直结构，引起连锁反应。下图示意全球不同纬度对流层</w:t>
      </w:r>
      <w:r>
        <w:rPr>
          <w:rFonts w:ascii="Times New Roman" w:hAnsi="Times New Roman" w:eastAsia="Times New Roman" w:cs="Times New Roman"/>
          <w:color w:val="000000"/>
        </w:rPr>
        <w:t>—</w:t>
      </w:r>
      <w:r>
        <w:rPr>
          <w:rFonts w:ascii="楷体" w:hAnsi="楷体" w:eastAsia="楷体" w:cs="楷体"/>
          <w:color w:val="000000"/>
        </w:rPr>
        <w:t>平流层界面的臭氧净通量（从对流层到平流层的输送为正值，反之为负值）。据此完成下面小题。</w:t>
      </w:r>
    </w:p>
    <w:p>
      <w:pPr>
        <w:spacing w:line="360" w:lineRule="auto"/>
        <w:jc w:val="left"/>
        <w:textAlignment w:val="center"/>
        <w:rPr>
          <w:color w:val="000000"/>
        </w:rPr>
      </w:pPr>
      <w:r>
        <w:rPr>
          <w:color w:val="000000"/>
        </w:rPr>
        <w:drawing>
          <wp:inline distT="0" distB="0" distL="114300" distR="114300">
            <wp:extent cx="3114675" cy="261937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114675" cy="261937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hAnsi="宋体" w:eastAsia="宋体" w:cs="宋体"/>
          <w:color w:val="000000"/>
        </w:rPr>
        <w:t>与北半球相比，南半球（</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向平流层输送的臭氧总量更多</w:t>
      </w:r>
      <w:r>
        <w:rPr>
          <w:color w:val="000000"/>
        </w:rPr>
        <w:tab/>
      </w:r>
      <w:r>
        <w:rPr>
          <w:color w:val="000000"/>
        </w:rPr>
        <w:t xml:space="preserve">B. </w:t>
      </w:r>
      <w:r>
        <w:rPr>
          <w:rFonts w:ascii="宋体" w:hAnsi="宋体" w:eastAsia="宋体" w:cs="宋体"/>
          <w:color w:val="000000"/>
        </w:rPr>
        <w:t>向平流层输送臭氧的范围更小</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低纬度向平流层输送臭氧更多</w:t>
      </w:r>
      <w:r>
        <w:rPr>
          <w:color w:val="000000"/>
        </w:rPr>
        <w:tab/>
      </w:r>
      <w:r>
        <w:rPr>
          <w:color w:val="000000"/>
        </w:rPr>
        <w:t xml:space="preserve">D. </w:t>
      </w:r>
      <w:r>
        <w:rPr>
          <w:rFonts w:ascii="宋体" w:hAnsi="宋体" w:eastAsia="宋体" w:cs="宋体"/>
          <w:color w:val="000000"/>
        </w:rPr>
        <w:t>向对流层输送臭氧的峰值更小</w:t>
      </w:r>
    </w:p>
    <w:p>
      <w:pPr>
        <w:spacing w:line="360" w:lineRule="auto"/>
        <w:jc w:val="left"/>
        <w:textAlignment w:val="center"/>
        <w:rPr>
          <w:color w:val="000000"/>
        </w:rPr>
      </w:pPr>
      <w:r>
        <w:rPr>
          <w:color w:val="000000"/>
        </w:rPr>
        <w:t xml:space="preserve">13. </w:t>
      </w:r>
      <w:r>
        <w:rPr>
          <w:rFonts w:ascii="宋体" w:hAnsi="宋体" w:eastAsia="宋体" w:cs="宋体"/>
          <w:color w:val="000000"/>
        </w:rPr>
        <w:t>进入对流层的臭氧到达近地面，主要借助（</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赤道低压</w:t>
      </w:r>
      <w:r>
        <w:rPr>
          <w:color w:val="000000"/>
        </w:rPr>
        <w:tab/>
      </w:r>
      <w:r>
        <w:rPr>
          <w:color w:val="000000"/>
        </w:rPr>
        <w:t xml:space="preserve">B. </w:t>
      </w:r>
      <w:r>
        <w:rPr>
          <w:rFonts w:ascii="宋体" w:hAnsi="宋体" w:eastAsia="宋体" w:cs="宋体"/>
          <w:color w:val="000000"/>
        </w:rPr>
        <w:t>极地高压</w:t>
      </w:r>
      <w:r>
        <w:rPr>
          <w:color w:val="000000"/>
        </w:rPr>
        <w:tab/>
      </w:r>
      <w:r>
        <w:rPr>
          <w:color w:val="000000"/>
        </w:rPr>
        <w:t xml:space="preserve">C. </w:t>
      </w:r>
      <w:r>
        <w:rPr>
          <w:rFonts w:ascii="宋体" w:hAnsi="宋体" w:eastAsia="宋体" w:cs="宋体"/>
          <w:color w:val="000000"/>
        </w:rPr>
        <w:t>副极地低压</w:t>
      </w:r>
      <w:r>
        <w:rPr>
          <w:color w:val="000000"/>
        </w:rPr>
        <w:tab/>
      </w:r>
      <w:r>
        <w:rPr>
          <w:color w:val="000000"/>
        </w:rPr>
        <w:t xml:space="preserve">D. </w:t>
      </w:r>
      <w:r>
        <w:rPr>
          <w:rFonts w:ascii="宋体" w:hAnsi="宋体" w:eastAsia="宋体" w:cs="宋体"/>
          <w:color w:val="000000"/>
        </w:rPr>
        <w:t>副热带高压</w:t>
      </w:r>
    </w:p>
    <w:p>
      <w:pPr>
        <w:spacing w:line="360" w:lineRule="auto"/>
        <w:jc w:val="left"/>
        <w:textAlignment w:val="center"/>
        <w:rPr>
          <w:color w:val="000000"/>
        </w:rPr>
      </w:pPr>
      <w:r>
        <w:rPr>
          <w:color w:val="000000"/>
        </w:rPr>
        <w:t xml:space="preserve">14. </w:t>
      </w:r>
      <w:r>
        <w:rPr>
          <w:rFonts w:ascii="宋体" w:hAnsi="宋体" w:eastAsia="宋体" w:cs="宋体"/>
          <w:color w:val="000000"/>
        </w:rPr>
        <w:t>与南北纬</w:t>
      </w:r>
      <w:r>
        <w:rPr>
          <w:rFonts w:ascii="Times New Roman" w:hAnsi="Times New Roman" w:eastAsia="Times New Roman" w:cs="Times New Roman"/>
          <w:color w:val="000000"/>
        </w:rPr>
        <w:t>60°</w:t>
      </w:r>
      <w:r>
        <w:rPr>
          <w:rFonts w:ascii="宋体" w:hAnsi="宋体" w:eastAsia="宋体" w:cs="宋体"/>
          <w:color w:val="000000"/>
        </w:rPr>
        <w:t>附近相比，赤道附近臭氧净通量较小，主要是因为（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对流运动较弱</w:t>
      </w:r>
      <w:r>
        <w:rPr>
          <w:color w:val="000000"/>
        </w:rPr>
        <w:tab/>
      </w:r>
      <w:r>
        <w:rPr>
          <w:color w:val="000000"/>
        </w:rPr>
        <w:t xml:space="preserve">B. </w:t>
      </w:r>
      <w:r>
        <w:rPr>
          <w:rFonts w:ascii="宋体" w:hAnsi="宋体" w:eastAsia="宋体" w:cs="宋体"/>
          <w:color w:val="000000"/>
        </w:rPr>
        <w:t>对流层顶较高</w:t>
      </w:r>
      <w:r>
        <w:rPr>
          <w:color w:val="000000"/>
        </w:rPr>
        <w:tab/>
      </w:r>
      <w:r>
        <w:rPr>
          <w:color w:val="000000"/>
        </w:rPr>
        <w:t xml:space="preserve">C. </w:t>
      </w:r>
      <w:r>
        <w:rPr>
          <w:rFonts w:ascii="宋体" w:hAnsi="宋体" w:eastAsia="宋体" w:cs="宋体"/>
          <w:color w:val="000000"/>
        </w:rPr>
        <w:t>下沉气流较强</w:t>
      </w:r>
      <w:r>
        <w:rPr>
          <w:color w:val="000000"/>
        </w:rPr>
        <w:tab/>
      </w:r>
      <w:r>
        <w:rPr>
          <w:color w:val="000000"/>
        </w:rPr>
        <w:t xml:space="preserve">D. </w:t>
      </w:r>
      <w:r>
        <w:rPr>
          <w:rFonts w:ascii="宋体" w:hAnsi="宋体" w:eastAsia="宋体" w:cs="宋体"/>
          <w:color w:val="000000"/>
        </w:rPr>
        <w:t>对流层顶较冷</w:t>
      </w:r>
    </w:p>
    <w:p>
      <w:pPr>
        <w:spacing w:line="360" w:lineRule="auto"/>
        <w:ind w:firstLine="420"/>
        <w:jc w:val="left"/>
        <w:textAlignment w:val="center"/>
        <w:rPr>
          <w:color w:val="000000"/>
        </w:rPr>
      </w:pPr>
      <w:r>
        <w:rPr>
          <w:rFonts w:ascii="楷体" w:hAnsi="楷体" w:eastAsia="楷体" w:cs="楷体"/>
          <w:color w:val="000000"/>
        </w:rPr>
        <w:t>吐拉盆地地处青藏高原北缘、阿尔金山与昆仑山交接地带。古新世以来，阿尔金山南北两支以及东昆仑山的渐次式抬升，导致吐拉盆地碎屑来源及沉积环境发生显著变化。研究人员利用锆石碎屑沉积，反向推演不同时期吐拉盆地的物源范围。阿尔金山南支发育多道侵蚀豁口。下图示意吐拉盆地周边地形，下表示意吐拉盆地周边地形抬升时间。据此完成下面小题。</w:t>
      </w:r>
    </w:p>
    <w:p>
      <w:pPr>
        <w:spacing w:line="360" w:lineRule="auto"/>
        <w:jc w:val="left"/>
        <w:textAlignment w:val="center"/>
        <w:rPr>
          <w:color w:val="000000"/>
        </w:rPr>
      </w:pPr>
      <w:r>
        <w:rPr>
          <w:color w:val="000000"/>
        </w:rPr>
        <w:drawing>
          <wp:inline distT="0" distB="0" distL="114300" distR="114300">
            <wp:extent cx="3352800" cy="18383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3352800" cy="1838325"/>
                    </a:xfrm>
                    <a:prstGeom prst="rect">
                      <a:avLst/>
                    </a:prstGeom>
                  </pic:spPr>
                </pic:pic>
              </a:graphicData>
            </a:graphic>
          </wp:inline>
        </w:drawing>
      </w:r>
    </w:p>
    <w:tbl>
      <w:tblPr>
        <w:tblStyle w:val="4"/>
        <w:tblW w:w="5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20"/>
        <w:gridCol w:w="30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时期</w:t>
            </w:r>
          </w:p>
        </w:tc>
        <w:tc>
          <w:tcPr>
            <w:tcW w:w="30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主要抬升区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古新世</w:t>
            </w:r>
            <w:r>
              <w:rPr>
                <w:rFonts w:ascii="Times New Roman" w:hAnsi="Times New Roman" w:eastAsia="Times New Roman" w:cs="Times New Roman"/>
                <w:color w:val="000000"/>
              </w:rPr>
              <w:t>—</w:t>
            </w:r>
            <w:r>
              <w:rPr>
                <w:rFonts w:ascii="楷体" w:hAnsi="楷体" w:eastAsia="楷体" w:cs="楷体"/>
                <w:color w:val="000000"/>
              </w:rPr>
              <w:t>早始新世</w:t>
            </w:r>
          </w:p>
        </w:tc>
        <w:tc>
          <w:tcPr>
            <w:tcW w:w="30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阿尔金山北支、东昆仑山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中始新世</w:t>
            </w:r>
            <w:r>
              <w:rPr>
                <w:rFonts w:ascii="Times New Roman" w:hAnsi="Times New Roman" w:eastAsia="Times New Roman" w:cs="Times New Roman"/>
                <w:color w:val="000000"/>
              </w:rPr>
              <w:t>—</w:t>
            </w:r>
            <w:r>
              <w:rPr>
                <w:rFonts w:ascii="楷体" w:hAnsi="楷体" w:eastAsia="楷体" w:cs="楷体"/>
                <w:color w:val="000000"/>
              </w:rPr>
              <w:t>早渐新世</w:t>
            </w:r>
          </w:p>
        </w:tc>
        <w:tc>
          <w:tcPr>
            <w:tcW w:w="30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阿尔金山南支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早渐新世</w:t>
            </w:r>
            <w:r>
              <w:rPr>
                <w:rFonts w:ascii="Times New Roman" w:hAnsi="Times New Roman" w:eastAsia="Times New Roman" w:cs="Times New Roman"/>
                <w:color w:val="000000"/>
              </w:rPr>
              <w:t>—</w:t>
            </w:r>
            <w:r>
              <w:rPr>
                <w:rFonts w:ascii="楷体" w:hAnsi="楷体" w:eastAsia="楷体" w:cs="楷体"/>
                <w:color w:val="000000"/>
              </w:rPr>
              <w:t>中渐新世</w:t>
            </w:r>
          </w:p>
        </w:tc>
        <w:tc>
          <w:tcPr>
            <w:tcW w:w="30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楷体" w:hAnsi="楷体" w:eastAsia="楷体" w:cs="楷体"/>
                <w:color w:val="000000"/>
              </w:rPr>
              <w:t>东昆仑山</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宋体" w:hAnsi="宋体" w:eastAsia="宋体" w:cs="宋体"/>
          <w:color w:val="000000"/>
        </w:rPr>
        <w:t>中渐新世之后，仍有阿尔金山南支以南的锆石能够进入吐拉盆地，是主要通过（</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风力搬运</w:t>
      </w:r>
      <w:r>
        <w:rPr>
          <w:color w:val="000000"/>
        </w:rPr>
        <w:tab/>
      </w:r>
      <w:r>
        <w:rPr>
          <w:color w:val="000000"/>
        </w:rPr>
        <w:t xml:space="preserve">B. </w:t>
      </w:r>
      <w:r>
        <w:rPr>
          <w:rFonts w:ascii="宋体" w:hAnsi="宋体" w:eastAsia="宋体" w:cs="宋体"/>
          <w:color w:val="000000"/>
        </w:rPr>
        <w:t>断裂位移</w:t>
      </w:r>
      <w:r>
        <w:rPr>
          <w:color w:val="000000"/>
        </w:rPr>
        <w:tab/>
      </w:r>
      <w:r>
        <w:rPr>
          <w:color w:val="000000"/>
        </w:rPr>
        <w:t xml:space="preserve">C. </w:t>
      </w:r>
      <w:r>
        <w:rPr>
          <w:rFonts w:ascii="宋体" w:hAnsi="宋体" w:eastAsia="宋体" w:cs="宋体"/>
          <w:color w:val="000000"/>
        </w:rPr>
        <w:t>地壳抬升</w:t>
      </w:r>
      <w:r>
        <w:rPr>
          <w:color w:val="000000"/>
        </w:rPr>
        <w:tab/>
      </w:r>
      <w:r>
        <w:rPr>
          <w:color w:val="000000"/>
        </w:rPr>
        <w:t xml:space="preserve">D. </w:t>
      </w:r>
      <w:r>
        <w:rPr>
          <w:rFonts w:ascii="宋体" w:hAnsi="宋体" w:eastAsia="宋体" w:cs="宋体"/>
          <w:color w:val="000000"/>
        </w:rPr>
        <w:t>流水搬运</w:t>
      </w:r>
    </w:p>
    <w:p>
      <w:pPr>
        <w:spacing w:line="360" w:lineRule="auto"/>
        <w:jc w:val="left"/>
        <w:textAlignment w:val="center"/>
        <w:rPr>
          <w:color w:val="000000"/>
        </w:rPr>
      </w:pPr>
      <w:r>
        <w:rPr>
          <w:color w:val="000000"/>
        </w:rPr>
        <w:t xml:space="preserve">16. </w:t>
      </w:r>
      <w:r>
        <w:rPr>
          <w:rFonts w:ascii="宋体" w:hAnsi="宋体" w:eastAsia="宋体" w:cs="宋体"/>
          <w:color w:val="000000"/>
        </w:rPr>
        <w:t>吐拉盆地碎屑物源范围最小的时期是（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早始新世</w:t>
      </w:r>
      <w:r>
        <w:rPr>
          <w:color w:val="000000"/>
        </w:rPr>
        <w:tab/>
      </w:r>
      <w:r>
        <w:rPr>
          <w:color w:val="000000"/>
        </w:rPr>
        <w:t xml:space="preserve">B. </w:t>
      </w:r>
      <w:r>
        <w:rPr>
          <w:rFonts w:ascii="宋体" w:hAnsi="宋体" w:eastAsia="宋体" w:cs="宋体"/>
          <w:color w:val="000000"/>
        </w:rPr>
        <w:t>中始新世</w:t>
      </w:r>
      <w:r>
        <w:rPr>
          <w:color w:val="000000"/>
        </w:rPr>
        <w:tab/>
      </w:r>
      <w:r>
        <w:rPr>
          <w:color w:val="000000"/>
        </w:rPr>
        <w:t xml:space="preserve">C. </w:t>
      </w:r>
      <w:r>
        <w:rPr>
          <w:rFonts w:ascii="宋体" w:hAnsi="宋体" w:eastAsia="宋体" w:cs="宋体"/>
          <w:color w:val="000000"/>
        </w:rPr>
        <w:t>早渐新世</w:t>
      </w:r>
      <w:r>
        <w:rPr>
          <w:color w:val="000000"/>
        </w:rPr>
        <w:tab/>
      </w:r>
      <w:r>
        <w:rPr>
          <w:color w:val="000000"/>
        </w:rPr>
        <w:t xml:space="preserve">D. </w:t>
      </w:r>
      <w:r>
        <w:rPr>
          <w:rFonts w:ascii="宋体" w:hAnsi="宋体" w:eastAsia="宋体" w:cs="宋体"/>
          <w:color w:val="000000"/>
        </w:rPr>
        <w:t>中渐新世</w:t>
      </w:r>
    </w:p>
    <w:p>
      <w:pPr>
        <w:spacing w:line="360"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17. </w:t>
      </w:r>
      <w:r>
        <w:rPr>
          <w:rFonts w:ascii="宋体" w:hAnsi="宋体" w:eastAsia="宋体" w:cs="宋体"/>
          <w:color w:val="000000"/>
        </w:rPr>
        <w:t>阅读图文材料，完成下列要求。</w:t>
      </w:r>
    </w:p>
    <w:p>
      <w:pPr>
        <w:spacing w:line="360" w:lineRule="auto"/>
        <w:ind w:firstLine="420"/>
        <w:jc w:val="left"/>
        <w:textAlignment w:val="center"/>
        <w:rPr>
          <w:color w:val="000000"/>
        </w:rPr>
      </w:pPr>
      <w:r>
        <w:rPr>
          <w:rFonts w:ascii="楷体" w:hAnsi="楷体" w:eastAsia="楷体" w:cs="楷体"/>
          <w:color w:val="000000"/>
        </w:rPr>
        <w:t>恩施土家族苗族自治州（简称恩施州）位于湖北省西南部（如图），地貌呈明显层状分布，平均海拔约</w:t>
      </w:r>
      <w:r>
        <w:rPr>
          <w:rFonts w:ascii="Times New Roman" w:hAnsi="Times New Roman" w:eastAsia="Times New Roman" w:cs="Times New Roman"/>
          <w:color w:val="000000"/>
        </w:rPr>
        <w:t>1000m</w:t>
      </w:r>
      <w:r>
        <w:rPr>
          <w:rFonts w:ascii="楷体" w:hAnsi="楷体" w:eastAsia="楷体" w:cs="楷体"/>
          <w:color w:val="000000"/>
        </w:rPr>
        <w:t>，是发展夏季高山蔬菜产业的理想区域。经过四十余年的发展，该地已成为湖北省最大的夏季高山蔬菜产区，</w:t>
      </w:r>
      <w:r>
        <w:rPr>
          <w:rFonts w:ascii="Times New Roman" w:hAnsi="Times New Roman" w:eastAsia="Times New Roman" w:cs="Times New Roman"/>
          <w:color w:val="000000"/>
        </w:rPr>
        <w:t>2023</w:t>
      </w:r>
      <w:r>
        <w:rPr>
          <w:rFonts w:ascii="楷体" w:hAnsi="楷体" w:eastAsia="楷体" w:cs="楷体"/>
          <w:color w:val="000000"/>
        </w:rPr>
        <w:t>年种植面积约</w:t>
      </w:r>
      <w:r>
        <w:rPr>
          <w:rFonts w:ascii="Times New Roman" w:hAnsi="Times New Roman" w:eastAsia="Times New Roman" w:cs="Times New Roman"/>
          <w:color w:val="000000"/>
        </w:rPr>
        <w:t>840.67km²</w:t>
      </w:r>
      <w:r>
        <w:rPr>
          <w:rFonts w:ascii="楷体" w:hAnsi="楷体" w:eastAsia="楷体" w:cs="楷体"/>
          <w:color w:val="000000"/>
        </w:rPr>
        <w:t>、产量</w:t>
      </w:r>
      <w:r>
        <w:rPr>
          <w:rFonts w:ascii="Times New Roman" w:hAnsi="Times New Roman" w:eastAsia="Times New Roman" w:cs="Times New Roman"/>
          <w:color w:val="000000"/>
        </w:rPr>
        <w:t>175.3</w:t>
      </w:r>
      <w:r>
        <w:rPr>
          <w:rFonts w:ascii="楷体" w:hAnsi="楷体" w:eastAsia="楷体" w:cs="楷体"/>
          <w:color w:val="000000"/>
        </w:rPr>
        <w:t>万吨、产值</w:t>
      </w:r>
      <w:r>
        <w:rPr>
          <w:rFonts w:ascii="Times New Roman" w:hAnsi="Times New Roman" w:eastAsia="Times New Roman" w:cs="Times New Roman"/>
          <w:color w:val="000000"/>
        </w:rPr>
        <w:t>43.8</w:t>
      </w:r>
      <w:r>
        <w:rPr>
          <w:rFonts w:ascii="楷体" w:hAnsi="楷体" w:eastAsia="楷体" w:cs="楷体"/>
          <w:color w:val="000000"/>
        </w:rPr>
        <w:t>亿元，带动高山地区农户户均增收</w:t>
      </w:r>
      <w:r>
        <w:rPr>
          <w:rFonts w:ascii="Times New Roman" w:hAnsi="Times New Roman" w:eastAsia="Times New Roman" w:cs="Times New Roman"/>
          <w:color w:val="000000"/>
        </w:rPr>
        <w:t>5000</w:t>
      </w:r>
      <w:r>
        <w:rPr>
          <w:rFonts w:ascii="楷体" w:hAnsi="楷体" w:eastAsia="楷体" w:cs="楷体"/>
          <w:color w:val="000000"/>
        </w:rPr>
        <w:t>元以上。依托富硒土壤资源与生态优势，该地拥有</w:t>
      </w:r>
      <w:r>
        <w:rPr>
          <w:rFonts w:ascii="Times New Roman" w:hAnsi="Times New Roman" w:eastAsia="Times New Roman" w:cs="Times New Roman"/>
          <w:color w:val="000000"/>
        </w:rPr>
        <w:t>58</w:t>
      </w:r>
      <w:r>
        <w:rPr>
          <w:rFonts w:ascii="楷体" w:hAnsi="楷体" w:eastAsia="楷体" w:cs="楷体"/>
          <w:color w:val="000000"/>
        </w:rPr>
        <w:t>个通过绿色食品认证产品、</w:t>
      </w:r>
      <w:r>
        <w:rPr>
          <w:rFonts w:ascii="Times New Roman" w:hAnsi="Times New Roman" w:eastAsia="Times New Roman" w:cs="Times New Roman"/>
          <w:color w:val="000000"/>
        </w:rPr>
        <w:t>8</w:t>
      </w:r>
      <w:r>
        <w:rPr>
          <w:rFonts w:ascii="楷体" w:hAnsi="楷体" w:eastAsia="楷体" w:cs="楷体"/>
          <w:color w:val="000000"/>
        </w:rPr>
        <w:t>个获国家地理标志认定产品，但产业发展中仍存在新优农产品品种缺乏、冷链物流体系落后、耕地肥力下降、服务体系不全等问题。</w:t>
      </w:r>
    </w:p>
    <w:p>
      <w:pPr>
        <w:spacing w:line="360" w:lineRule="auto"/>
        <w:jc w:val="left"/>
        <w:textAlignment w:val="center"/>
        <w:rPr>
          <w:color w:val="000000"/>
        </w:rPr>
      </w:pPr>
      <w:r>
        <w:rPr>
          <w:color w:val="000000"/>
        </w:rPr>
        <w:drawing>
          <wp:inline distT="0" distB="0" distL="114300" distR="114300">
            <wp:extent cx="3409950" cy="21526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409950" cy="2152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分析恩施州发展夏季高山蔬菜产业的有利自然条件。</w:t>
      </w:r>
    </w:p>
    <w:p>
      <w:pPr>
        <w:spacing w:line="360" w:lineRule="auto"/>
        <w:jc w:val="left"/>
        <w:textAlignment w:val="center"/>
        <w:rPr>
          <w:color w:val="000000"/>
        </w:rPr>
      </w:pPr>
      <w:r>
        <w:rPr>
          <w:color w:val="000000"/>
        </w:rPr>
        <w:t>（2）</w:t>
      </w:r>
      <w:r>
        <w:rPr>
          <w:rFonts w:ascii="宋体" w:hAnsi="宋体" w:eastAsia="宋体" w:cs="宋体"/>
          <w:color w:val="000000"/>
        </w:rPr>
        <w:t>说明恩施州夏季高山蔬菜产业对区域社会经济发展的积极影响。</w:t>
      </w:r>
    </w:p>
    <w:p>
      <w:pPr>
        <w:spacing w:line="360" w:lineRule="auto"/>
        <w:jc w:val="left"/>
        <w:textAlignment w:val="center"/>
        <w:rPr>
          <w:color w:val="000000"/>
        </w:rPr>
      </w:pPr>
      <w:r>
        <w:rPr>
          <w:color w:val="000000"/>
        </w:rPr>
        <w:t>（3）</w:t>
      </w:r>
      <w:r>
        <w:rPr>
          <w:rFonts w:ascii="宋体" w:hAnsi="宋体" w:eastAsia="宋体" w:cs="宋体"/>
          <w:color w:val="000000"/>
        </w:rPr>
        <w:t>针对恩施州夏季高山蔬菜产业现存问题，提出推动该产业高质量发展的具体措施。</w:t>
      </w:r>
    </w:p>
    <w:p>
      <w:pPr>
        <w:spacing w:line="360" w:lineRule="auto"/>
        <w:jc w:val="left"/>
        <w:textAlignment w:val="center"/>
        <w:rPr>
          <w:color w:val="000000"/>
        </w:rPr>
      </w:pPr>
      <w:r>
        <w:rPr>
          <w:color w:val="000000"/>
        </w:rPr>
        <w:t xml:space="preserve">18. </w:t>
      </w:r>
      <w:r>
        <w:rPr>
          <w:rFonts w:ascii="宋体" w:hAnsi="宋体" w:eastAsia="宋体" w:cs="宋体"/>
          <w:color w:val="000000"/>
        </w:rPr>
        <w:t>阅读图文材料，完成下列要求。</w:t>
      </w:r>
    </w:p>
    <w:p>
      <w:pPr>
        <w:spacing w:line="360" w:lineRule="auto"/>
        <w:ind w:firstLine="420"/>
        <w:jc w:val="left"/>
        <w:textAlignment w:val="center"/>
        <w:rPr>
          <w:color w:val="000000"/>
        </w:rPr>
      </w:pPr>
      <w:r>
        <w:rPr>
          <w:rFonts w:ascii="楷体" w:hAnsi="楷体" w:eastAsia="楷体" w:cs="楷体"/>
          <w:color w:val="000000"/>
        </w:rPr>
        <w:t>东湖位于武汉东郊，是武汉重要旅游目的地，水域面积</w:t>
      </w:r>
      <w:r>
        <w:rPr>
          <w:rFonts w:ascii="Times New Roman" w:hAnsi="Times New Roman" w:eastAsia="Times New Roman" w:cs="Times New Roman"/>
          <w:color w:val="000000"/>
        </w:rPr>
        <w:t>34km²</w:t>
      </w:r>
      <w:r>
        <w:rPr>
          <w:rFonts w:ascii="楷体" w:hAnsi="楷体" w:eastAsia="楷体" w:cs="楷体"/>
          <w:color w:val="000000"/>
        </w:rPr>
        <w:t>，周边建设强度大、人口密度高。为优化东湖可达性，完善东湖绿道，当地计划开通微型公交接驳，并对绿道驿站系统进行改扩建。驿站是东湖绿道的重要节点，集交通集散、商业、休闲等功能于一体，东湖西岸、南岸热门驿站客流较密集。</w:t>
      </w:r>
      <w:r>
        <w:rPr>
          <w:rFonts w:ascii="Times New Roman" w:hAnsi="Times New Roman" w:eastAsia="Times New Roman" w:cs="Times New Roman"/>
          <w:color w:val="000000"/>
        </w:rPr>
        <w:t>2025</w:t>
      </w:r>
      <w:r>
        <w:rPr>
          <w:rFonts w:ascii="楷体" w:hAnsi="楷体" w:eastAsia="楷体" w:cs="楷体"/>
          <w:color w:val="000000"/>
        </w:rPr>
        <w:t>年，东湖绿道作为中国唯一案例入选联合国《文化驱动的可持续城市旅游解决方案》。下图示意东湖绿道交通及驿站改扩建方案。</w:t>
      </w:r>
    </w:p>
    <w:p>
      <w:pPr>
        <w:spacing w:line="360" w:lineRule="auto"/>
        <w:jc w:val="left"/>
        <w:textAlignment w:val="center"/>
        <w:rPr>
          <w:color w:val="000000"/>
        </w:rPr>
      </w:pPr>
      <w:r>
        <w:rPr>
          <w:color w:val="000000"/>
        </w:rPr>
        <w:drawing>
          <wp:inline distT="0" distB="0" distL="114300" distR="114300">
            <wp:extent cx="3705225" cy="208597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3705225" cy="20859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指出东湖微型公交接驳线路的分布特征，并分析其布局的合理性。</w:t>
      </w:r>
    </w:p>
    <w:p>
      <w:pPr>
        <w:spacing w:line="360" w:lineRule="auto"/>
        <w:jc w:val="left"/>
        <w:textAlignment w:val="center"/>
        <w:rPr>
          <w:color w:val="000000"/>
        </w:rPr>
      </w:pPr>
      <w:r>
        <w:rPr>
          <w:color w:val="000000"/>
        </w:rPr>
        <w:t>（2）</w:t>
      </w:r>
      <w:r>
        <w:rPr>
          <w:rFonts w:ascii="宋体" w:hAnsi="宋体" w:eastAsia="宋体" w:cs="宋体"/>
          <w:color w:val="000000"/>
        </w:rPr>
        <w:t>东湖东岸规划新建驿站数量较多，试推测其原因。</w:t>
      </w:r>
    </w:p>
    <w:p>
      <w:pPr>
        <w:spacing w:line="360" w:lineRule="auto"/>
        <w:jc w:val="left"/>
        <w:textAlignment w:val="center"/>
        <w:rPr>
          <w:color w:val="000000"/>
        </w:rPr>
      </w:pPr>
      <w:r>
        <w:rPr>
          <w:color w:val="000000"/>
        </w:rPr>
        <w:t>（3）</w:t>
      </w:r>
      <w:r>
        <w:rPr>
          <w:rFonts w:ascii="宋体" w:hAnsi="宋体" w:eastAsia="宋体" w:cs="宋体"/>
          <w:color w:val="000000"/>
        </w:rPr>
        <w:t>某研学小组计划研究东湖绿道的交通可达性，设计了一份调查方案，请你补充完整。</w:t>
      </w:r>
    </w:p>
    <w:tbl>
      <w:tblPr>
        <w:tblStyle w:val="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2"/>
        <w:gridCol w:w="85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调查目标</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在不同交通方式的帮助下，东湖绿道能否满足武汉市民的休闲需求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调查对象</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绿道交通设施、居民及管理者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调查方法</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①</w:t>
            </w:r>
            <w:r>
              <w:rPr>
                <w:color w:val="000000"/>
              </w:rPr>
              <w:t>______________________________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调查内容</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②</w:t>
            </w:r>
            <w:r>
              <w:rPr>
                <w:color w:val="000000"/>
              </w:rPr>
              <w:t>______________________________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数据处理</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应用</w:t>
            </w:r>
            <w:r>
              <w:rPr>
                <w:rFonts w:ascii="Times New Roman" w:hAnsi="Times New Roman" w:eastAsia="Times New Roman" w:cs="Times New Roman"/>
                <w:color w:val="000000"/>
              </w:rPr>
              <w:t>GIS</w:t>
            </w:r>
            <w:r>
              <w:rPr>
                <w:rFonts w:ascii="宋体" w:hAnsi="宋体" w:eastAsia="宋体" w:cs="宋体"/>
                <w:color w:val="000000"/>
              </w:rPr>
              <w:t>等工具，通过数据处理，估算武汉全市各交通方式抵达东湖绿道的平均耗时、中转次数及中转耗时、不同交通方式出行占比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结果分析</w:t>
            </w:r>
          </w:p>
        </w:tc>
        <w:tc>
          <w:tcPr>
            <w:tcW w:w="4277"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根据调查结果，回答调查目标中的问题，例如地铁、公交车、自行车抵达东湖绿道的便捷性及居民接受度</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19. </w:t>
      </w:r>
      <w:r>
        <w:rPr>
          <w:rFonts w:ascii="宋体" w:hAnsi="宋体" w:eastAsia="宋体" w:cs="宋体"/>
          <w:color w:val="000000"/>
        </w:rPr>
        <w:t>阅读图文材料，完成下列要求。</w:t>
      </w:r>
      <w:bookmarkStart w:id="0" w:name="_GoBack"/>
      <w:bookmarkEnd w:id="0"/>
    </w:p>
    <w:p>
      <w:pPr>
        <w:spacing w:line="360" w:lineRule="auto"/>
        <w:ind w:firstLine="420"/>
        <w:jc w:val="left"/>
        <w:textAlignment w:val="center"/>
        <w:rPr>
          <w:color w:val="000000"/>
        </w:rPr>
      </w:pPr>
      <w:r>
        <w:rPr>
          <w:rFonts w:ascii="楷体" w:hAnsi="楷体" w:eastAsia="楷体" w:cs="楷体"/>
          <w:color w:val="000000"/>
        </w:rPr>
        <w:t>新疆博斯腾湖（淡水湖）与艾比湖（咸水湖）湖岸均有芦苇湿地分布，两湖岸芦苇生长状况存在差异。生物残骸在厌氧环境中易分解成低碳有机物，土壤中的产甲烷菌以低碳有机物为原料生产甲烷，甲烷被植物根系吸收后经通气组织排放至大气。气温、土壤盐分、生物量对湖岸芦苇湿地甲烷排放量有较大的影响。下图示意不同季节两湖岸芦苇湿地土壤向大气排放的甲烷量（单位：</w:t>
      </w:r>
      <w:r>
        <w:rPr>
          <w:rFonts w:ascii="Times New Roman" w:hAnsi="Times New Roman" w:eastAsia="Times New Roman" w:cs="Times New Roman"/>
          <w:color w:val="000000"/>
        </w:rPr>
        <w:t>μg·m</w:t>
      </w:r>
      <w:r>
        <w:rPr>
          <w:rFonts w:ascii="楷体" w:hAnsi="楷体" w:eastAsia="楷体" w:cs="楷体"/>
          <w:color w:val="000000"/>
        </w:rPr>
        <w:t>﹣</w:t>
      </w:r>
      <w:r>
        <w:rPr>
          <w:rFonts w:ascii="Times New Roman" w:hAnsi="Times New Roman" w:eastAsia="Times New Roman" w:cs="Times New Roman"/>
          <w:color w:val="000000"/>
        </w:rPr>
        <w:t>²·h</w:t>
      </w:r>
      <w:r>
        <w:rPr>
          <w:rFonts w:ascii="楷体" w:hAnsi="楷体" w:eastAsia="楷体" w:cs="楷体"/>
          <w:color w:val="000000"/>
        </w:rPr>
        <w:t>﹣</w:t>
      </w:r>
      <w:r>
        <w:rPr>
          <w:rFonts w:ascii="Times New Roman" w:hAnsi="Times New Roman" w:eastAsia="Times New Roman" w:cs="Times New Roman"/>
          <w:color w:val="000000"/>
        </w:rPr>
        <w:t>¹</w:t>
      </w:r>
      <w:r>
        <w:rPr>
          <w:rFonts w:ascii="楷体" w:hAnsi="楷体" w:eastAsia="楷体" w:cs="楷体"/>
          <w:color w:val="000000"/>
        </w:rPr>
        <w:t>）。</w:t>
      </w:r>
    </w:p>
    <w:p>
      <w:pPr>
        <w:spacing w:line="360" w:lineRule="auto"/>
        <w:jc w:val="left"/>
        <w:textAlignment w:val="center"/>
        <w:rPr>
          <w:color w:val="000000"/>
        </w:rPr>
      </w:pPr>
      <w:r>
        <w:rPr>
          <w:color w:val="000000"/>
        </w:rPr>
        <w:drawing>
          <wp:inline distT="0" distB="0" distL="114300" distR="114300">
            <wp:extent cx="2952750" cy="2324100"/>
            <wp:effectExtent l="0" t="0" r="0" b="0"/>
            <wp:docPr id="499369299" name="图片 4993692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9299" name="图片 499369299"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952750" cy="23241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指出两湖岸芦苇湿地土壤低碳有机物的主要来源。</w:t>
      </w:r>
    </w:p>
    <w:p>
      <w:pPr>
        <w:spacing w:line="360" w:lineRule="auto"/>
        <w:jc w:val="left"/>
        <w:textAlignment w:val="center"/>
        <w:rPr>
          <w:color w:val="000000"/>
        </w:rPr>
      </w:pPr>
      <w:r>
        <w:rPr>
          <w:color w:val="000000"/>
        </w:rPr>
        <w:t>（2）</w:t>
      </w:r>
      <w:r>
        <w:rPr>
          <w:rFonts w:ascii="宋体" w:hAnsi="宋体" w:eastAsia="宋体" w:cs="宋体"/>
          <w:color w:val="000000"/>
        </w:rPr>
        <w:t>分析夏季两湖岸芦苇湿地甲烷排放量差异较小的原因。</w:t>
      </w:r>
    </w:p>
    <w:p>
      <w:pPr>
        <w:spacing w:line="360" w:lineRule="auto"/>
        <w:jc w:val="left"/>
        <w:textAlignment w:val="center"/>
        <w:rPr>
          <w:color w:val="000000"/>
        </w:rPr>
      </w:pPr>
      <w:r>
        <w:rPr>
          <w:color w:val="000000"/>
        </w:rPr>
        <w:t>（3）</w:t>
      </w:r>
      <w:r>
        <w:rPr>
          <w:rFonts w:ascii="宋体" w:hAnsi="宋体" w:eastAsia="宋体" w:cs="宋体"/>
          <w:color w:val="000000"/>
        </w:rPr>
        <w:t>运用自然环境的整体性原理，说明艾比湖水位持续下降对湖岸芦苇湿地植被和土壤的不利影响。</w:t>
      </w:r>
    </w:p>
    <w:p>
      <w:pPr>
        <w:spacing w:line="360" w:lineRule="auto"/>
        <w:jc w:val="left"/>
        <w:textAlignment w:val="center"/>
        <w:rPr>
          <w:color w:val="000000"/>
        </w:rPr>
      </w:pPr>
      <w:r>
        <w:rPr>
          <w:color w:val="000000"/>
        </w:rPr>
        <w:br w:type="textWrapping"/>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6821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12</TotalTime>
  <ScaleCrop>false</ScaleCrop>
  <LinksUpToDate>false</LinksUpToDate>
  <CharactersWithSpaces>0</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2026-07-14T23:54:00Z</dcterms:created>
  <dc:creator>学科网试题生产平台</dc:creator>
  <dc:description>4053490447705088</dc:description>
  <cp:lastModifiedBy>Deledy</cp:lastModifiedBy>
  <dcterms:modified xsi:type="dcterms:W3CDTF">2026-07-15T07:39:04Z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2052-11.8.2.12055</vt:lpwstr>
  </property>
  <property fmtid="{D5CDD505-2E9C-101B-9397-08002B2CF9AE}" pid="7" name="ICV">
    <vt:lpwstr>C147841430184961BCE3649FF16D2FC9</vt:lpwstr>
  </property>
</Properties>
</file>