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  <w:textAlignment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11036300</wp:posOffset>
            </wp:positionH>
            <wp:positionV relativeFrom="topMargin">
              <wp:posOffset>10236200</wp:posOffset>
            </wp:positionV>
            <wp:extent cx="304800" cy="406400"/>
            <wp:wrapNone/>
            <wp:docPr id="1000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9264" behindDoc="0" locked="0" layoutInCell="1" allowOverlap="1">
            <wp:simplePos x="0" y="0"/>
            <wp:positionH relativeFrom="page">
              <wp:posOffset>12598400</wp:posOffset>
            </wp:positionH>
            <wp:positionV relativeFrom="topMargin">
              <wp:posOffset>10337800</wp:posOffset>
            </wp:positionV>
            <wp:extent cx="368300" cy="406400"/>
            <wp:wrapNone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高一下期地理试题卷</w:t>
      </w:r>
    </w:p>
    <w:p w:rsidR="00FC5860" w:rsidRPr="00BE1BCD"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考试时间：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90</w:t>
      </w:r>
      <w:r>
        <w:rPr>
          <w:rFonts w:ascii="宋体" w:eastAsia="宋体" w:hAnsi="宋体" w:cs="宋体"/>
          <w:b/>
          <w:color w:val="auto"/>
          <w:sz w:val="24"/>
        </w:rPr>
        <w:t>分钟，满分：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分。试题卷总页数：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页。</w:t>
      </w:r>
    </w:p>
    <w:p w:rsidR="00FC5860" w:rsidRPr="00BE1BCD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所有题目必须在答题卡上作答，在试题卷、草稿纸上答题无效。</w:t>
      </w:r>
    </w:p>
    <w:p w:rsidR="00FC5860" w:rsidRPr="00BE1BCD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需要填涂的地方，一律用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铅笔涂满涂黑。需要书写的地方一律用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0.5mm</w:t>
      </w:r>
      <w:r>
        <w:rPr>
          <w:rFonts w:ascii="宋体" w:eastAsia="宋体" w:hAnsi="宋体" w:cs="宋体"/>
          <w:b/>
          <w:color w:val="auto"/>
          <w:sz w:val="24"/>
        </w:rPr>
        <w:t>签字笔。</w:t>
      </w:r>
    </w:p>
    <w:p w:rsidR="00FC5860" w:rsidRPr="00BE1BCD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4.</w:t>
      </w:r>
      <w:r>
        <w:rPr>
          <w:rFonts w:ascii="宋体" w:eastAsia="宋体" w:hAnsi="宋体" w:cs="宋体"/>
          <w:b/>
          <w:color w:val="auto"/>
          <w:sz w:val="24"/>
        </w:rPr>
        <w:t>答题前，务必将自己的姓名、准考证号填写在答题卡规定的位置上。</w:t>
      </w:r>
    </w:p>
    <w:p w:rsidR="00FC5860" w:rsidRPr="00BE1BCD">
      <w:pPr>
        <w:spacing w:line="360" w:lineRule="auto"/>
        <w:jc w:val="center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60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30</w:t>
      </w:r>
      <w:r>
        <w:rPr>
          <w:rFonts w:ascii="宋体" w:eastAsia="宋体" w:hAnsi="宋体" w:cs="宋体"/>
          <w:b/>
          <w:color w:val="auto"/>
          <w:sz w:val="24"/>
        </w:rPr>
        <w:t>个小题。每小题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60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分。在每小题给出的四个选项中，只有一项是最符合题目要求的。</w:t>
      </w:r>
    </w:p>
    <w:p w:rsidR="00FC5860" w:rsidRPr="00BE1BCD">
      <w:pPr>
        <w:spacing w:line="360" w:lineRule="auto"/>
        <w:ind w:firstLine="420"/>
        <w:jc w:val="left"/>
        <w:textAlignment w:val="center"/>
      </w:pPr>
      <w:r>
        <w:rPr>
          <w:rFonts w:ascii="楷体" w:eastAsia="楷体" w:hAnsi="楷体" w:cs="楷体"/>
          <w:color w:val="auto"/>
        </w:rPr>
        <w:t>我国</w:t>
      </w:r>
      <w:r>
        <w:rPr>
          <w:rFonts w:ascii="Times New Roman" w:eastAsia="Times New Roman" w:hAnsi="Times New Roman" w:cs="Times New Roman"/>
          <w:color w:val="auto"/>
        </w:rPr>
        <w:t>20</w:t>
      </w:r>
      <w:r>
        <w:rPr>
          <w:rFonts w:ascii="楷体" w:eastAsia="楷体" w:hAnsi="楷体" w:cs="楷体"/>
          <w:color w:val="auto"/>
        </w:rPr>
        <w:t>世纪</w:t>
      </w:r>
      <w:r>
        <w:rPr>
          <w:rFonts w:ascii="Times New Roman" w:eastAsia="Times New Roman" w:hAnsi="Times New Roman" w:cs="Times New Roman"/>
          <w:color w:val="auto"/>
        </w:rPr>
        <w:t>80</w:t>
      </w:r>
      <w:r>
        <w:rPr>
          <w:rFonts w:ascii="楷体" w:eastAsia="楷体" w:hAnsi="楷体" w:cs="楷体"/>
          <w:color w:val="auto"/>
        </w:rPr>
        <w:t>年代提倡一对夫妇只生育一胎子女，</w:t>
      </w:r>
      <w:r>
        <w:rPr>
          <w:rFonts w:ascii="Times New Roman" w:eastAsia="Times New Roman" w:hAnsi="Times New Roman" w:cs="Times New Roman"/>
          <w:color w:val="auto"/>
        </w:rPr>
        <w:t>2021</w:t>
      </w:r>
      <w:r>
        <w:rPr>
          <w:rFonts w:ascii="楷体" w:eastAsia="楷体" w:hAnsi="楷体" w:cs="楷体"/>
          <w:color w:val="auto"/>
        </w:rPr>
        <w:t>年实施三孩政策。结合我国</w:t>
      </w:r>
      <w:r>
        <w:rPr>
          <w:rFonts w:ascii="Times New Roman" w:eastAsia="Times New Roman" w:hAnsi="Times New Roman" w:cs="Times New Roman"/>
          <w:color w:val="auto"/>
        </w:rPr>
        <w:t>1981~1985</w:t>
      </w:r>
      <w:r>
        <w:rPr>
          <w:rFonts w:ascii="楷体" w:eastAsia="楷体" w:hAnsi="楷体" w:cs="楷体"/>
          <w:color w:val="auto"/>
        </w:rPr>
        <w:t>年和</w:t>
      </w:r>
      <w:r>
        <w:rPr>
          <w:rFonts w:ascii="Times New Roman" w:eastAsia="Times New Roman" w:hAnsi="Times New Roman" w:cs="Times New Roman"/>
          <w:color w:val="auto"/>
        </w:rPr>
        <w:t>2021~2025</w:t>
      </w:r>
      <w:r>
        <w:rPr>
          <w:rFonts w:ascii="楷体" w:eastAsia="楷体" w:hAnsi="楷体" w:cs="楷体"/>
          <w:color w:val="auto"/>
        </w:rPr>
        <w:t>年人口数据统计表（下表），据此完成下面小题。</w:t>
      </w:r>
    </w:p>
    <w:tbl>
      <w:tblPr>
        <w:tblStyle w:val="TableNormal"/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14"/>
        <w:gridCol w:w="970"/>
        <w:gridCol w:w="960"/>
        <w:gridCol w:w="1377"/>
        <w:gridCol w:w="763"/>
        <w:gridCol w:w="960"/>
        <w:gridCol w:w="944"/>
        <w:gridCol w:w="1352"/>
      </w:tblGrid>
      <w:tr>
        <w:tblPrEx>
          <w:tblW w:w="81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楷体" w:eastAsia="楷体" w:hAnsi="楷体" w:cs="楷体"/>
                <w:color w:val="auto"/>
              </w:rPr>
              <w:t>年份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楷体" w:eastAsia="楷体" w:hAnsi="楷体" w:cs="楷体"/>
                <w:color w:val="auto"/>
              </w:rPr>
              <w:t>出生率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楷体" w:eastAsia="楷体" w:hAnsi="楷体" w:cs="楷体"/>
                <w:color w:val="auto"/>
              </w:rPr>
              <w:t>死亡率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楷体" w:eastAsia="楷体" w:hAnsi="楷体" w:cs="楷体"/>
                <w:color w:val="auto"/>
              </w:rPr>
              <w:t>自然增长率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楷体" w:eastAsia="楷体" w:hAnsi="楷体" w:cs="楷体"/>
                <w:color w:val="auto"/>
              </w:rPr>
              <w:t>年份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楷体" w:eastAsia="楷体" w:hAnsi="楷体" w:cs="楷体"/>
                <w:color w:val="auto"/>
              </w:rPr>
              <w:t>出生率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楷体" w:eastAsia="楷体" w:hAnsi="楷体" w:cs="楷体"/>
                <w:color w:val="auto"/>
              </w:rPr>
              <w:t>死亡率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楷体" w:eastAsia="楷体" w:hAnsi="楷体" w:cs="楷体"/>
                <w:color w:val="auto"/>
              </w:rPr>
              <w:t>自然增长率</w:t>
            </w:r>
          </w:p>
        </w:tc>
      </w:tr>
      <w:tr>
        <w:tblPrEx>
          <w:tblW w:w="816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1981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20.91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6.36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14.55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2021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7.52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7.18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0.34</w:t>
            </w:r>
          </w:p>
        </w:tc>
      </w:tr>
      <w:tr>
        <w:tblPrEx>
          <w:tblW w:w="816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1982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22.28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6.6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15.68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2022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6.77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7.37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-0.6</w:t>
            </w:r>
          </w:p>
        </w:tc>
      </w:tr>
      <w:tr>
        <w:tblPrEx>
          <w:tblW w:w="816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1983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20.19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6.9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13.29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2023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6.39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7.42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-1.03</w:t>
            </w:r>
          </w:p>
        </w:tc>
      </w:tr>
      <w:tr>
        <w:tblPrEx>
          <w:tblW w:w="816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1984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19.9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6.82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13.08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2024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6.77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7.76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-0.99</w:t>
            </w:r>
          </w:p>
        </w:tc>
      </w:tr>
      <w:tr>
        <w:tblPrEx>
          <w:tblW w:w="816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1985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21.04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6.78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14.26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2025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5.63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8.04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both"/>
              <w:textAlignment w:val="center"/>
            </w:pPr>
            <w:r>
              <w:rPr>
                <w:rFonts w:ascii="Times New Roman" w:eastAsia="Times New Roman" w:hAnsi="Times New Roman" w:cs="Times New Roman"/>
                <w:color w:val="auto"/>
              </w:rPr>
              <w:t>-2.41</w:t>
            </w:r>
          </w:p>
        </w:tc>
      </w:tr>
    </w:tbl>
    <w:p w:rsidR="00FC5860" w:rsidRPr="00BE1BCD">
      <w:pPr>
        <w:spacing w:line="360" w:lineRule="auto"/>
        <w:jc w:val="both"/>
        <w:textAlignment w:val="center"/>
      </w:pPr>
    </w:p>
    <w:p w:rsidR="00FC5860" w:rsidRPr="00BE1BCD">
      <w:pPr>
        <w:spacing w:line="360" w:lineRule="auto"/>
        <w:jc w:val="left"/>
        <w:textAlignment w:val="center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我国</w:t>
      </w:r>
      <w:r>
        <w:rPr>
          <w:rFonts w:ascii="Times New Roman" w:eastAsia="Times New Roman" w:hAnsi="Times New Roman" w:cs="Times New Roman"/>
          <w:color w:val="auto"/>
        </w:rPr>
        <w:t>20</w:t>
      </w:r>
      <w:r>
        <w:rPr>
          <w:rFonts w:ascii="宋体" w:eastAsia="宋体" w:hAnsi="宋体" w:cs="宋体"/>
          <w:color w:val="auto"/>
        </w:rPr>
        <w:t>世纪</w:t>
      </w:r>
      <w:r>
        <w:rPr>
          <w:rFonts w:ascii="Times New Roman" w:eastAsia="Times New Roman" w:hAnsi="Times New Roman" w:cs="Times New Roman"/>
          <w:color w:val="auto"/>
        </w:rPr>
        <w:t>80</w:t>
      </w:r>
      <w:r>
        <w:rPr>
          <w:rFonts w:ascii="宋体" w:eastAsia="宋体" w:hAnsi="宋体" w:cs="宋体"/>
          <w:color w:val="auto"/>
        </w:rPr>
        <w:t>年代面临的主要人口问题是（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人口增长过快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人口数量过多</w:t>
      </w:r>
      <w:r w:rsidRPr="00BE1BCD" w:rsidR="00FC5860">
        <w:tab/>
      </w:r>
      <w:r w:rsidRPr="00BE1BCD" w:rsidR="00FC5860">
        <w:t xml:space="preserve">C. </w:t>
      </w:r>
      <w:r>
        <w:rPr>
          <w:color w:val="auto"/>
        </w:rPr>
        <w:t>老龄化</w:t>
      </w:r>
      <w:r>
        <w:rPr>
          <w:rFonts w:ascii="宋体" w:eastAsia="宋体" w:hAnsi="宋体" w:cs="宋体"/>
          <w:color w:val="auto"/>
        </w:rPr>
        <w:t>严重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人口分布不均</w:t>
      </w:r>
    </w:p>
    <w:p w:rsidR="00FC5860" w:rsidRPr="00BE1BCD">
      <w:pPr>
        <w:spacing w:line="360" w:lineRule="auto"/>
        <w:jc w:val="left"/>
        <w:textAlignment w:val="center"/>
      </w:pPr>
      <w:r>
        <w:rPr>
          <w:color w:val="auto"/>
        </w:rPr>
        <w:t xml:space="preserve">2. </w:t>
      </w:r>
      <w:r>
        <w:rPr>
          <w:rFonts w:ascii="宋体" w:eastAsia="宋体" w:hAnsi="宋体" w:cs="宋体"/>
          <w:color w:val="auto"/>
        </w:rPr>
        <w:t>我国</w:t>
      </w:r>
      <w:r>
        <w:rPr>
          <w:rFonts w:ascii="Times New Roman" w:eastAsia="Times New Roman" w:hAnsi="Times New Roman" w:cs="Times New Roman"/>
          <w:color w:val="auto"/>
        </w:rPr>
        <w:t>20</w:t>
      </w:r>
      <w:r>
        <w:rPr>
          <w:rFonts w:ascii="宋体" w:eastAsia="宋体" w:hAnsi="宋体" w:cs="宋体"/>
          <w:color w:val="auto"/>
        </w:rPr>
        <w:t>世纪</w:t>
      </w:r>
      <w:r>
        <w:rPr>
          <w:rFonts w:ascii="Times New Roman" w:eastAsia="Times New Roman" w:hAnsi="Times New Roman" w:cs="Times New Roman"/>
          <w:color w:val="auto"/>
        </w:rPr>
        <w:t>80</w:t>
      </w:r>
      <w:r>
        <w:rPr>
          <w:rFonts w:ascii="宋体" w:eastAsia="宋体" w:hAnsi="宋体" w:cs="宋体"/>
          <w:color w:val="auto"/>
        </w:rPr>
        <w:t>年代和</w:t>
      </w:r>
      <w:r>
        <w:rPr>
          <w:rFonts w:ascii="Times New Roman" w:eastAsia="Times New Roman" w:hAnsi="Times New Roman" w:cs="Times New Roman"/>
          <w:color w:val="auto"/>
        </w:rPr>
        <w:t>21</w:t>
      </w:r>
      <w:r>
        <w:rPr>
          <w:rFonts w:ascii="宋体" w:eastAsia="宋体" w:hAnsi="宋体" w:cs="宋体"/>
          <w:color w:val="auto"/>
        </w:rPr>
        <w:t>世纪</w:t>
      </w:r>
      <w:r>
        <w:rPr>
          <w:rFonts w:ascii="Times New Roman" w:eastAsia="Times New Roman" w:hAnsi="Times New Roman" w:cs="Times New Roman"/>
          <w:color w:val="auto"/>
        </w:rPr>
        <w:t>20</w:t>
      </w:r>
      <w:r>
        <w:rPr>
          <w:rFonts w:ascii="宋体" w:eastAsia="宋体" w:hAnsi="宋体" w:cs="宋体"/>
          <w:color w:val="auto"/>
        </w:rPr>
        <w:t>年代人口政策明显不同的主要原因是（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人口数量不同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人口出生率不同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性别结构不同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人口死亡率不同</w:t>
      </w:r>
    </w:p>
    <w:p w:rsidR="00FC5860" w:rsidRPr="00BE1BCD">
      <w:pPr>
        <w:spacing w:line="360" w:lineRule="auto"/>
        <w:jc w:val="left"/>
        <w:textAlignment w:val="center"/>
      </w:pPr>
      <w:r>
        <w:rPr>
          <w:color w:val="auto"/>
        </w:rPr>
        <w:t xml:space="preserve">3. </w:t>
      </w:r>
      <w:r>
        <w:rPr>
          <w:rFonts w:ascii="宋体" w:eastAsia="宋体" w:hAnsi="宋体" w:cs="宋体"/>
          <w:color w:val="auto"/>
        </w:rPr>
        <w:t>我国</w:t>
      </w:r>
      <w:r>
        <w:rPr>
          <w:rFonts w:ascii="Times New Roman" w:eastAsia="Times New Roman" w:hAnsi="Times New Roman" w:cs="Times New Roman"/>
          <w:color w:val="auto"/>
        </w:rPr>
        <w:t>2021~2025年</w:t>
      </w:r>
      <w:r>
        <w:rPr>
          <w:rFonts w:ascii="宋体" w:eastAsia="宋体" w:hAnsi="宋体" w:cs="宋体"/>
          <w:color w:val="auto"/>
        </w:rPr>
        <w:t>出生人口持续下降的主要原因是（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经济水平下降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我国的环境承载力下降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养老负担加重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人们生育观念发生变化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常住人口是指实际居住在某地区半年以上的人口。重庆市</w:t>
      </w:r>
      <w:r>
        <w:rPr>
          <w:rFonts w:ascii="Times New Roman" w:eastAsia="Times New Roman" w:hAnsi="Times New Roman" w:cs="Times New Roman"/>
          <w:color w:val="000000"/>
        </w:rPr>
        <w:t>2025</w:t>
      </w:r>
      <w:r>
        <w:rPr>
          <w:rFonts w:ascii="楷体" w:eastAsia="楷体" w:hAnsi="楷体" w:cs="楷体"/>
          <w:color w:val="000000"/>
        </w:rPr>
        <w:t>年末常住人口较上年减少约</w:t>
      </w:r>
      <w:r>
        <w:rPr>
          <w:rFonts w:ascii="Times New Roman" w:eastAsia="Times New Roman" w:hAnsi="Times New Roman" w:cs="Times New Roman"/>
          <w:color w:val="000000"/>
        </w:rPr>
        <w:t>3.21</w:t>
      </w:r>
      <w:r>
        <w:rPr>
          <w:rFonts w:ascii="楷体" w:eastAsia="楷体" w:hAnsi="楷体" w:cs="楷体"/>
          <w:color w:val="000000"/>
        </w:rPr>
        <w:t>万人，人口净流入约</w:t>
      </w:r>
      <w:r>
        <w:rPr>
          <w:rFonts w:ascii="Times New Roman" w:eastAsia="Times New Roman" w:hAnsi="Times New Roman" w:cs="Times New Roman"/>
          <w:color w:val="000000"/>
        </w:rPr>
        <w:t>11.5</w:t>
      </w:r>
      <w:r>
        <w:rPr>
          <w:rFonts w:ascii="楷体" w:eastAsia="楷体" w:hAnsi="楷体" w:cs="楷体"/>
          <w:color w:val="000000"/>
        </w:rPr>
        <w:t>万人，重庆市流向四川省约</w:t>
      </w:r>
      <w:r>
        <w:rPr>
          <w:rFonts w:ascii="Times New Roman" w:eastAsia="Times New Roman" w:hAnsi="Times New Roman" w:cs="Times New Roman"/>
          <w:color w:val="000000"/>
        </w:rPr>
        <w:t>32</w:t>
      </w:r>
      <w:r>
        <w:rPr>
          <w:rFonts w:ascii="楷体" w:eastAsia="楷体" w:hAnsi="楷体" w:cs="楷体"/>
          <w:color w:val="000000"/>
        </w:rPr>
        <w:t>万人，四川省流向重庆市约</w:t>
      </w:r>
      <w:r>
        <w:rPr>
          <w:rFonts w:ascii="Times New Roman" w:eastAsia="Times New Roman" w:hAnsi="Times New Roman" w:cs="Times New Roman"/>
          <w:color w:val="000000"/>
        </w:rPr>
        <w:t>113</w:t>
      </w:r>
      <w:r>
        <w:rPr>
          <w:rFonts w:ascii="楷体" w:eastAsia="楷体" w:hAnsi="楷体" w:cs="楷体"/>
          <w:color w:val="000000"/>
        </w:rPr>
        <w:t>万人。据此完成下面小题。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重庆市</w:t>
      </w:r>
      <w:r>
        <w:rPr>
          <w:rFonts w:ascii="Times New Roman" w:eastAsia="Times New Roman" w:hAnsi="Times New Roman" w:cs="Times New Roman"/>
          <w:color w:val="000000"/>
        </w:rPr>
        <w:t>2025</w:t>
      </w:r>
      <w:r>
        <w:rPr>
          <w:rFonts w:ascii="宋体" w:eastAsia="宋体" w:hAnsi="宋体" w:cs="宋体"/>
          <w:color w:val="000000"/>
        </w:rPr>
        <w:t>年常住人口减少的主要原因是（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外来人口流入少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经济发展滞后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流向四川人口多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人口出生率低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造成四川省与重庆市间人口流动差异的主要原因是（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四川省人口合理容量更大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重庆市就业机会更多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四川省外流人口数量更多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重庆市外来人口更多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四川省与重庆市间人口流动对四川省的影响是（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劳务收入减少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人地矛盾加剧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劳动力会减少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就业压力增大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重庆市彭水县靛水新城地处低山槽谷地带。</w:t>
      </w:r>
      <w:r>
        <w:rPr>
          <w:rFonts w:ascii="Times New Roman" w:eastAsia="Times New Roman" w:hAnsi="Times New Roman" w:cs="Times New Roman"/>
          <w:color w:val="000000"/>
        </w:rPr>
        <w:t>2020~2025</w:t>
      </w:r>
      <w:r>
        <w:rPr>
          <w:rFonts w:ascii="楷体" w:eastAsia="楷体" w:hAnsi="楷体" w:cs="楷体"/>
          <w:color w:val="000000"/>
        </w:rPr>
        <w:t>年彭水老城人口增加了</w:t>
      </w:r>
      <w:r>
        <w:rPr>
          <w:rFonts w:ascii="Times New Roman" w:eastAsia="Times New Roman" w:hAnsi="Times New Roman" w:cs="Times New Roman"/>
          <w:color w:val="000000"/>
        </w:rPr>
        <w:t>1.5</w:t>
      </w:r>
      <w:r>
        <w:rPr>
          <w:rFonts w:ascii="楷体" w:eastAsia="楷体" w:hAnsi="楷体" w:cs="楷体"/>
          <w:color w:val="000000"/>
        </w:rPr>
        <w:t>万人，靛水新城增加了约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楷体" w:eastAsia="楷体" w:hAnsi="楷体" w:cs="楷体"/>
          <w:color w:val="000000"/>
        </w:rPr>
        <w:t>万人。结合彭水县城区分布示意图（图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楷体" w:eastAsia="楷体" w:hAnsi="楷体" w:cs="楷体"/>
          <w:color w:val="000000"/>
        </w:rPr>
        <w:t>）、靛水新城景观（图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楷体" w:eastAsia="楷体" w:hAnsi="楷体" w:cs="楷体"/>
          <w:color w:val="000000"/>
        </w:rPr>
        <w:t>）、彭水老城景观（图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楷体" w:eastAsia="楷体" w:hAnsi="楷体" w:cs="楷体"/>
          <w:color w:val="000000"/>
        </w:rPr>
        <w:t>），据此完成下面小题。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66975" cy="17621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color w:val="000000"/>
        </w:rPr>
        <w:drawing>
          <wp:inline>
            <wp:extent cx="3705225" cy="16287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相对于靛水新城，彭水老城形成的区位条件是（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水运便利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地形开阔平坦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水产丰富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山区物产富饶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影响彭水县城市空间形态的主要因素是（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气候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地形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民族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人口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靛水新城扩大过程中，彭水县发生的变化是（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①城区面积扩大②城市人口增多③彭水老城人口减少④老城商业区减少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③④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①④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新疆昆玉市沙漠农业示范基地位于昆仑山北麓，塔克拉玛干沙漠南缘。该基地通过水肥一体化、精准控量灌溉。据此完成下面小题。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制约该地农业生产的主要区位因素是（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热量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地形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水源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人口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影响昆玉市沙漠农业示范基地农业发展的关键因素是（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农业科技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土壤肥力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人口数量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地形地貌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当地采用水肥一体化、精准控量灌溉的主要目的是（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①节约有限水资源  ②减轻土壤盐渍化  ③减少蒸发量  ④减少风沙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沙漠地区大规模发展灌溉农业可能产生的影响是（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空气湿度降低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降水量减少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昼夜温差增大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蒸发量增加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我国新能源汽车连续</w:t>
      </w:r>
      <w:r>
        <w:rPr>
          <w:rFonts w:ascii="Times New Roman" w:eastAsia="Times New Roman" w:hAnsi="Times New Roman" w:cs="Times New Roman"/>
          <w:color w:val="000000"/>
        </w:rPr>
        <w:t>11</w:t>
      </w:r>
      <w:r>
        <w:rPr>
          <w:rFonts w:ascii="楷体" w:eastAsia="楷体" w:hAnsi="楷体" w:cs="楷体"/>
          <w:color w:val="000000"/>
        </w:rPr>
        <w:t>年产销量全球第一，上游材料、中游电芯、整车制造全链条自主可控，成本比海外低</w:t>
      </w:r>
      <w:r>
        <w:rPr>
          <w:rFonts w:ascii="Times New Roman" w:eastAsia="Times New Roman" w:hAnsi="Times New Roman" w:cs="Times New Roman"/>
          <w:color w:val="000000"/>
        </w:rPr>
        <w:t>20%~30%</w:t>
      </w:r>
      <w:r>
        <w:rPr>
          <w:rFonts w:ascii="楷体" w:eastAsia="楷体" w:hAnsi="楷体" w:cs="楷体"/>
          <w:color w:val="000000"/>
        </w:rPr>
        <w:t>。我国是全球第一大石油进口国，对外依存度达</w:t>
      </w:r>
      <w:r>
        <w:rPr>
          <w:rFonts w:ascii="Times New Roman" w:eastAsia="Times New Roman" w:hAnsi="Times New Roman" w:cs="Times New Roman"/>
          <w:color w:val="000000"/>
        </w:rPr>
        <w:t>70%.</w:t>
      </w:r>
      <w:r>
        <w:rPr>
          <w:rFonts w:ascii="楷体" w:eastAsia="楷体" w:hAnsi="楷体" w:cs="楷体"/>
          <w:color w:val="000000"/>
        </w:rPr>
        <w:t>交通用油占比约</w:t>
      </w:r>
      <w:r>
        <w:rPr>
          <w:rFonts w:ascii="Times New Roman" w:eastAsia="Times New Roman" w:hAnsi="Times New Roman" w:cs="Times New Roman"/>
          <w:color w:val="000000"/>
        </w:rPr>
        <w:t>50%</w:t>
      </w:r>
      <w:r>
        <w:rPr>
          <w:rFonts w:ascii="楷体" w:eastAsia="楷体" w:hAnsi="楷体" w:cs="楷体"/>
          <w:color w:val="000000"/>
        </w:rPr>
        <w:t>，近年来呈持续下降的趋势。据此完成下面小题。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我国新能源汽车产业能够长期保持全球领先地位的主要原因是（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进口石油多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新能源汽车产业链条完善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劳动力充足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燃油车制造技术水平领先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我国大力推广新能源汽车对国家安全的突出意义是（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降低石油对外依存度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减少大气污染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增强交通运输安全性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降低电网负荷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我国新能源汽车出口量持续增长的主要原因是（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国产新能源车在国内消费量小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国外汽车制造技术落后于中国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国产新能源车的国际竞争力强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我国是全球发电量最多的国家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中国是人类历史上第一个实现国际贸易顺差超过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楷体" w:eastAsia="楷体" w:hAnsi="楷体" w:cs="楷体"/>
          <w:color w:val="000000"/>
        </w:rPr>
        <w:t>万亿美元的国家。</w:t>
      </w:r>
      <w:r>
        <w:rPr>
          <w:rFonts w:ascii="Times New Roman" w:eastAsia="Times New Roman" w:hAnsi="Times New Roman" w:cs="Times New Roman"/>
          <w:color w:val="000000"/>
        </w:rPr>
        <w:t>2025</w:t>
      </w:r>
      <w:r>
        <w:rPr>
          <w:rFonts w:ascii="楷体" w:eastAsia="楷体" w:hAnsi="楷体" w:cs="楷体"/>
          <w:color w:val="000000"/>
        </w:rPr>
        <w:t>年我国进口的农矿产品约占进口总额的</w:t>
      </w:r>
      <w:r>
        <w:rPr>
          <w:rFonts w:ascii="Times New Roman" w:eastAsia="Times New Roman" w:hAnsi="Times New Roman" w:cs="Times New Roman"/>
          <w:color w:val="000000"/>
        </w:rPr>
        <w:t>48%</w:t>
      </w:r>
      <w:r>
        <w:rPr>
          <w:rFonts w:ascii="楷体" w:eastAsia="楷体" w:hAnsi="楷体" w:cs="楷体"/>
          <w:color w:val="000000"/>
        </w:rPr>
        <w:t>。结合</w:t>
      </w:r>
      <w:r>
        <w:rPr>
          <w:rFonts w:ascii="Times New Roman" w:eastAsia="Times New Roman" w:hAnsi="Times New Roman" w:cs="Times New Roman"/>
          <w:color w:val="000000"/>
        </w:rPr>
        <w:t>2025</w:t>
      </w:r>
      <w:r>
        <w:rPr>
          <w:rFonts w:ascii="楷体" w:eastAsia="楷体" w:hAnsi="楷体" w:cs="楷体"/>
          <w:color w:val="000000"/>
        </w:rPr>
        <w:t>年中美进出口数据统计表（下表），据此完成下面小题。</w:t>
      </w:r>
    </w:p>
    <w:tbl>
      <w:tblPr>
        <w:tblStyle w:val="TableNormal"/>
        <w:tblW w:w="7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67"/>
        <w:gridCol w:w="3806"/>
        <w:gridCol w:w="4557"/>
      </w:tblGrid>
      <w:tr>
        <w:tblPrEx>
          <w:tblW w:w="766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指标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中国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美国</w:t>
            </w:r>
          </w:p>
        </w:tc>
      </w:tr>
      <w:tr>
        <w:tblPrEx>
          <w:tblW w:w="766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出口总额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3.75</w:t>
            </w:r>
            <w:r>
              <w:rPr>
                <w:rFonts w:ascii="楷体" w:eastAsia="楷体" w:hAnsi="楷体" w:cs="楷体"/>
                <w:color w:val="000000"/>
              </w:rPr>
              <w:t>万亿美元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2.19</w:t>
            </w:r>
            <w:r>
              <w:rPr>
                <w:rFonts w:ascii="楷体" w:eastAsia="楷体" w:hAnsi="楷体" w:cs="楷体"/>
                <w:color w:val="000000"/>
              </w:rPr>
              <w:t>万亿美元</w:t>
            </w:r>
          </w:p>
        </w:tc>
      </w:tr>
      <w:tr>
        <w:tblPrEx>
          <w:tblW w:w="766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进口总额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2.57</w:t>
            </w:r>
            <w:r>
              <w:rPr>
                <w:rFonts w:ascii="楷体" w:eastAsia="楷体" w:hAnsi="楷体" w:cs="楷体"/>
                <w:color w:val="000000"/>
              </w:rPr>
              <w:t>万亿美元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3.51</w:t>
            </w:r>
            <w:r>
              <w:rPr>
                <w:rFonts w:ascii="楷体" w:eastAsia="楷体" w:hAnsi="楷体" w:cs="楷体"/>
                <w:color w:val="000000"/>
              </w:rPr>
              <w:t>万亿美元</w:t>
            </w:r>
          </w:p>
        </w:tc>
      </w:tr>
      <w:tr>
        <w:tblPrEx>
          <w:tblW w:w="766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贸易差额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顺差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1.18</w:t>
            </w:r>
            <w:r>
              <w:rPr>
                <w:rFonts w:ascii="楷体" w:eastAsia="楷体" w:hAnsi="楷体" w:cs="楷体"/>
                <w:color w:val="000000"/>
              </w:rPr>
              <w:t>万亿美元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逆差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1.32</w:t>
            </w:r>
            <w:r>
              <w:rPr>
                <w:rFonts w:ascii="楷体" w:eastAsia="楷体" w:hAnsi="楷体" w:cs="楷体"/>
                <w:color w:val="000000"/>
              </w:rPr>
              <w:t>万亿美元</w:t>
            </w:r>
          </w:p>
        </w:tc>
      </w:tr>
      <w:tr>
        <w:tblPrEx>
          <w:tblW w:w="766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主要出口产品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机电产品、高技术产品、纺织与日用消费品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农产品、能源、航空航天、知识产权、金融法律服务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Times New Roman" w:eastAsia="Times New Roman" w:hAnsi="Times New Roman" w:cs="Times New Roman"/>
          <w:color w:val="000000"/>
        </w:rPr>
        <w:t>2025</w:t>
      </w:r>
      <w:r>
        <w:rPr>
          <w:rFonts w:ascii="宋体" w:eastAsia="宋体" w:hAnsi="宋体" w:cs="宋体"/>
          <w:color w:val="000000"/>
        </w:rPr>
        <w:t>年中国对外贸易顺差巨大的主要原因是（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人口众多，劳动力足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制造业出口竞争力强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地大物博，物产富饶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服务贸易占绝对主导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中国农矿产品在进口总额中占比高的主要原因是（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农、矿产品的产量较小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农、矿产品的需求巨大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农业与矿业技术较落后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进口高端产品经费不足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与美国相比中国出口商品的突出特点是（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以知识产权与金融服务为主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以农产品、能源等初级产品为主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以机电、新能源等产品为主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以航空航天等单一高端装备为主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与中国相比，美国大量出口粮食的主要原因是（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粮食产量更大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机械化水平高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农业人口更少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粮食需求较少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平陆运河是新中国成立以来首条江海连通的大运河，全长</w:t>
      </w:r>
      <w:r>
        <w:rPr>
          <w:rFonts w:ascii="Times New Roman" w:eastAsia="Times New Roman" w:hAnsi="Times New Roman" w:cs="Times New Roman"/>
          <w:color w:val="000000"/>
        </w:rPr>
        <w:t>134.2</w:t>
      </w:r>
      <w:r>
        <w:rPr>
          <w:rFonts w:ascii="楷体" w:eastAsia="楷体" w:hAnsi="楷体" w:cs="楷体"/>
          <w:color w:val="000000"/>
        </w:rPr>
        <w:t>公里，挖通沙坪河与旧州江间的分水岭，联接珠江和钦江水系，可常年通航</w:t>
      </w:r>
      <w:r>
        <w:rPr>
          <w:rFonts w:ascii="Times New Roman" w:eastAsia="Times New Roman" w:hAnsi="Times New Roman" w:cs="Times New Roman"/>
          <w:color w:val="000000"/>
        </w:rPr>
        <w:t>5000</w:t>
      </w:r>
      <w:r>
        <w:rPr>
          <w:rFonts w:ascii="楷体" w:eastAsia="楷体" w:hAnsi="楷体" w:cs="楷体"/>
          <w:color w:val="000000"/>
        </w:rPr>
        <w:t>吨级江海直达货轮，预计今年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楷体" w:eastAsia="楷体" w:hAnsi="楷体" w:cs="楷体"/>
          <w:color w:val="000000"/>
        </w:rPr>
        <w:t>月通航。结合平陆运河示意图（下图），据此完成下面小题。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410075" cy="16859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运输大宗货物，水运的主要优势是（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费用低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效率高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速度快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更安全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建设平陆运河的主导区位因素是（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工程施工难度较小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社会经济发展与货运需求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河流水量常年充足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国防安全与边境管控需要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eastAsia="宋体" w:hAnsi="宋体" w:cs="宋体"/>
          <w:color w:val="000000"/>
        </w:rPr>
        <w:t>平陆运河通航后对西南地区最直接的影响是（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改变气候类型，增加年降水量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缩短出海航程，降低物流运输成本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促进人口大量向沿海地区迁移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替代铁路、公路、航空等客运方式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自由贸易港的货物、资金、人员、数据、运输五大要素高度自由流动，进出自由贸易港的境外商品实行零关税、基本免配额、免监管等优惠政策。</w:t>
      </w:r>
      <w:r>
        <w:rPr>
          <w:rFonts w:ascii="Times New Roman" w:eastAsia="Times New Roman" w:hAnsi="Times New Roman" w:cs="Times New Roman"/>
          <w:color w:val="000000"/>
        </w:rPr>
        <w:t>2025</w:t>
      </w:r>
      <w:r>
        <w:rPr>
          <w:rFonts w:ascii="楷体" w:eastAsia="楷体" w:hAnsi="楷体" w:cs="楷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楷体" w:eastAsia="楷体" w:hAnsi="楷体" w:cs="楷体"/>
          <w:color w:val="000000"/>
        </w:rPr>
        <w:t>月我国最大的自由贸易港—海南岛正式全岛封关运作。结合南海示意图（下图），据此完成下面小题。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19350" cy="28289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eastAsia="宋体" w:hAnsi="宋体" w:cs="宋体"/>
          <w:color w:val="000000"/>
        </w:rPr>
        <w:t>从管理角度看，海南岛作为自由贸易港的区位优势是（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面积大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地处国际航道枢纽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辐射广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属天然的封闭单元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eastAsia="宋体" w:hAnsi="宋体" w:cs="宋体"/>
          <w:color w:val="000000"/>
        </w:rPr>
        <w:t>海南岛封关最受益的产业是（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水稻种植业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跨境电商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海水养殖业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钢铁工业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eastAsia="宋体" w:hAnsi="宋体" w:cs="宋体"/>
          <w:color w:val="000000"/>
        </w:rPr>
        <w:t>海南岛成为自由贸易港对海南岛的影响是（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进口商品更便宜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就业机会减少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国际化进程变慢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住房价格降低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eastAsia="宋体" w:hAnsi="宋体" w:cs="宋体"/>
          <w:color w:val="000000"/>
        </w:rPr>
        <w:t>在黄岩岛附近海域的外国船只，行为合法的是（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渔船私自捕捞水产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军舰擅自进入和通行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商船正常过境航行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科考船私自海洋科研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我国垃圾焚烧技术已全面实现自主化、高效化、超低排放与智能化，整体水平全球领先。</w:t>
      </w:r>
      <w:r>
        <w:rPr>
          <w:rFonts w:ascii="Times New Roman" w:eastAsia="Times New Roman" w:hAnsi="Times New Roman" w:cs="Times New Roman"/>
          <w:color w:val="000000"/>
        </w:rPr>
        <w:t>1983</w:t>
      </w:r>
      <w:r>
        <w:rPr>
          <w:rFonts w:ascii="楷体" w:eastAsia="楷体" w:hAnsi="楷体" w:cs="楷体"/>
          <w:color w:val="000000"/>
        </w:rPr>
        <w:t>年启用的玉龙填埋场位于深圳市罗湖区，占地约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楷体" w:eastAsia="楷体" w:hAnsi="楷体" w:cs="楷体"/>
          <w:color w:val="000000"/>
        </w:rPr>
        <w:t>万平方米，</w:t>
      </w:r>
      <w:r>
        <w:rPr>
          <w:rFonts w:ascii="Times New Roman" w:eastAsia="Times New Roman" w:hAnsi="Times New Roman" w:cs="Times New Roman"/>
          <w:color w:val="000000"/>
        </w:rPr>
        <w:t>1997</w:t>
      </w:r>
      <w:r>
        <w:rPr>
          <w:rFonts w:ascii="楷体" w:eastAsia="楷体" w:hAnsi="楷体" w:cs="楷体"/>
          <w:color w:val="000000"/>
        </w:rPr>
        <w:t>年填满停用，堆填垃圾</w:t>
      </w:r>
      <w:r>
        <w:rPr>
          <w:rFonts w:ascii="Times New Roman" w:eastAsia="Times New Roman" w:hAnsi="Times New Roman" w:cs="Times New Roman"/>
          <w:color w:val="000000"/>
        </w:rPr>
        <w:t>255</w:t>
      </w:r>
      <w:r>
        <w:rPr>
          <w:rFonts w:ascii="楷体" w:eastAsia="楷体" w:hAnsi="楷体" w:cs="楷体"/>
          <w:color w:val="000000"/>
        </w:rPr>
        <w:t>万立方米，形成约</w:t>
      </w:r>
      <w:r>
        <w:rPr>
          <w:rFonts w:ascii="Times New Roman" w:eastAsia="Times New Roman" w:hAnsi="Times New Roman" w:cs="Times New Roman"/>
          <w:color w:val="000000"/>
        </w:rPr>
        <w:t>110</w:t>
      </w:r>
      <w:r>
        <w:rPr>
          <w:rFonts w:ascii="楷体" w:eastAsia="楷体" w:hAnsi="楷体" w:cs="楷体"/>
          <w:color w:val="000000"/>
        </w:rPr>
        <w:t>米高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垃圾山</w:t>
      </w:r>
      <w:r>
        <w:rPr>
          <w:rFonts w:ascii="宋体" w:eastAsia="宋体" w:hAnsi="宋体" w:cs="宋体"/>
          <w:color w:val="000000"/>
        </w:rPr>
        <w:t>”。</w:t>
      </w:r>
      <w:r>
        <w:rPr>
          <w:rFonts w:ascii="Times New Roman" w:eastAsia="Times New Roman" w:hAnsi="Times New Roman" w:cs="Times New Roman"/>
          <w:color w:val="000000"/>
        </w:rPr>
        <w:t>2024</w:t>
      </w:r>
      <w:r>
        <w:rPr>
          <w:rFonts w:ascii="楷体" w:eastAsia="楷体" w:hAnsi="楷体" w:cs="楷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楷体" w:eastAsia="楷体" w:hAnsi="楷体" w:cs="楷体"/>
          <w:color w:val="000000"/>
        </w:rPr>
        <w:t>月开挖焚烧，预计</w:t>
      </w:r>
      <w:r>
        <w:rPr>
          <w:rFonts w:ascii="Times New Roman" w:eastAsia="Times New Roman" w:hAnsi="Times New Roman" w:cs="Times New Roman"/>
          <w:color w:val="000000"/>
        </w:rPr>
        <w:t>2026</w:t>
      </w:r>
      <w:r>
        <w:rPr>
          <w:rFonts w:ascii="楷体" w:eastAsia="楷体" w:hAnsi="楷体" w:cs="楷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楷体" w:eastAsia="楷体" w:hAnsi="楷体" w:cs="楷体"/>
          <w:color w:val="000000"/>
        </w:rPr>
        <w:t>月底完工，原垃圾填埋场将变身数字新城的核心拓展区。结合玉龙填埋场示意图（下图），完成下面小题。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62300" cy="18573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Times New Roman" w:eastAsia="Times New Roman" w:hAnsi="Times New Roman" w:cs="Times New Roman"/>
          <w:color w:val="000000"/>
        </w:rPr>
        <w:t>1983</w:t>
      </w:r>
      <w:r>
        <w:rPr>
          <w:rFonts w:ascii="宋体" w:eastAsia="宋体" w:hAnsi="宋体" w:cs="宋体"/>
          <w:color w:val="000000"/>
        </w:rPr>
        <w:t>年玉龙填埋场选址的主导区位因素是（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地形平坦开阔，建设用地充足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城市边缘地带地价低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靠近河流，便于垃圾污水排放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交通干线沿线运费低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eastAsia="宋体" w:hAnsi="宋体" w:cs="宋体"/>
          <w:color w:val="000000"/>
        </w:rPr>
        <w:t>相对于垃圾填埋处理方式，现代垃圾焚烧处理方式的优势是（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技术要求较低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建设成本较低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节约城市土地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选址不受限制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eastAsia="宋体" w:hAnsi="宋体" w:cs="宋体"/>
          <w:color w:val="000000"/>
        </w:rPr>
        <w:t>玉龙填埋场从“垃圾山”变身为数字新城，主要体现城市土地利用的特点是（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地域功能分区的固定化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城市绿地面积大幅减少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城市功能分区的随意性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土地利用更加集约合理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第Ⅱ卷（非选择题共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40</w:t>
      </w:r>
      <w:r>
        <w:rPr>
          <w:rFonts w:ascii="宋体" w:eastAsia="宋体" w:hAnsi="宋体" w:cs="宋体"/>
          <w:b/>
          <w:color w:val="000000"/>
          <w:sz w:val="24"/>
        </w:rPr>
        <w:t>分。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31. </w:t>
      </w:r>
      <w:r>
        <w:rPr>
          <w:rFonts w:ascii="宋体" w:eastAsia="宋体" w:hAnsi="宋体" w:cs="宋体"/>
          <w:color w:val="000000"/>
        </w:rPr>
        <w:t>阅读材料，完成下列要求。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材料一：生猪繁育阶段管理精细，劳动力、设备、保温成本占比高，生猪育肥阶段管理相对粗放，饲料成本占比超过</w:t>
      </w:r>
      <w:r>
        <w:rPr>
          <w:rFonts w:ascii="Times New Roman" w:eastAsia="Times New Roman" w:hAnsi="Times New Roman" w:cs="Times New Roman"/>
          <w:color w:val="000000"/>
        </w:rPr>
        <w:t>70%</w:t>
      </w:r>
      <w:r>
        <w:rPr>
          <w:rFonts w:ascii="楷体" w:eastAsia="楷体" w:hAnsi="楷体" w:cs="楷体"/>
          <w:color w:val="000000"/>
        </w:rPr>
        <w:t>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材料二：</w:t>
      </w:r>
      <w:r>
        <w:rPr>
          <w:rFonts w:ascii="Times New Roman" w:eastAsia="Times New Roman" w:hAnsi="Times New Roman" w:cs="Times New Roman"/>
          <w:color w:val="000000"/>
        </w:rPr>
        <w:t>2016</w:t>
      </w:r>
      <w:r>
        <w:rPr>
          <w:rFonts w:ascii="楷体" w:eastAsia="楷体" w:hAnsi="楷体" w:cs="楷体"/>
          <w:color w:val="000000"/>
        </w:rPr>
        <w:t>年农业农村部将南方水网密集区列为生猪养殖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约束发展区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，同时将东北地区列为生猪养殖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潜力增长区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材料三：哈尔滨运往广州的生猪，运输费用占售价的</w:t>
      </w:r>
      <w:r>
        <w:rPr>
          <w:rFonts w:ascii="Times New Roman" w:eastAsia="Times New Roman" w:hAnsi="Times New Roman" w:cs="Times New Roman"/>
          <w:color w:val="000000"/>
        </w:rPr>
        <w:t>12%</w:t>
      </w:r>
      <w:r>
        <w:rPr>
          <w:rFonts w:ascii="楷体" w:eastAsia="楷体" w:hAnsi="楷体" w:cs="楷体"/>
          <w:color w:val="000000"/>
        </w:rPr>
        <w:t>；冬季极端低温天气下，生猪长途运输的冻伤、死亡等损耗率可达</w:t>
      </w:r>
      <w:r>
        <w:rPr>
          <w:rFonts w:ascii="Times New Roman" w:eastAsia="Times New Roman" w:hAnsi="Times New Roman" w:cs="Times New Roman"/>
          <w:color w:val="000000"/>
        </w:rPr>
        <w:t>3%</w:t>
      </w:r>
      <w:r>
        <w:rPr>
          <w:rFonts w:ascii="楷体" w:eastAsia="楷体" w:hAnsi="楷体" w:cs="楷体"/>
          <w:color w:val="000000"/>
        </w:rPr>
        <w:t>以上。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说明东北地区承接南方生猪养殖产业转移的主要优势。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论证“东北地区生猪养殖综合成本依然较高”观点的合理性。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提出提升东北生猪养殖产业整体竞争力的措施。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32. </w:t>
      </w:r>
      <w:r>
        <w:rPr>
          <w:rFonts w:ascii="宋体" w:eastAsia="宋体" w:hAnsi="宋体" w:cs="宋体"/>
          <w:color w:val="000000"/>
        </w:rPr>
        <w:t>阅读材料，完成下列要求。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福建省是我国著名的侨乡。福建省南安市水头镇被誉为世界石都，石材原料进口量、成品出口量均占全国</w:t>
      </w:r>
      <w:r>
        <w:rPr>
          <w:rFonts w:ascii="Times New Roman" w:eastAsia="Times New Roman" w:hAnsi="Times New Roman" w:cs="Times New Roman"/>
          <w:color w:val="000000"/>
        </w:rPr>
        <w:t>60%</w:t>
      </w:r>
      <w:r>
        <w:rPr>
          <w:rFonts w:ascii="楷体" w:eastAsia="楷体" w:hAnsi="楷体" w:cs="楷体"/>
          <w:color w:val="000000"/>
        </w:rPr>
        <w:t>左右，贸易覆盖全球</w:t>
      </w:r>
      <w:r>
        <w:rPr>
          <w:rFonts w:ascii="Times New Roman" w:eastAsia="Times New Roman" w:hAnsi="Times New Roman" w:cs="Times New Roman"/>
          <w:color w:val="000000"/>
        </w:rPr>
        <w:t>140</w:t>
      </w:r>
      <w:r>
        <w:rPr>
          <w:rFonts w:ascii="楷体" w:eastAsia="楷体" w:hAnsi="楷体" w:cs="楷体"/>
          <w:color w:val="000000"/>
        </w:rPr>
        <w:t>多个国家，形成了全球规模最大、产业链最完整的石材加工集群。水头镇早期的石材产业以家庭作坊为主，石材加工出材率仅</w:t>
      </w:r>
      <w:r>
        <w:rPr>
          <w:rFonts w:ascii="Times New Roman" w:eastAsia="Times New Roman" w:hAnsi="Times New Roman" w:cs="Times New Roman"/>
          <w:color w:val="000000"/>
        </w:rPr>
        <w:t>77%</w:t>
      </w:r>
      <w:r>
        <w:rPr>
          <w:rFonts w:ascii="楷体" w:eastAsia="楷体" w:hAnsi="楷体" w:cs="楷体"/>
          <w:color w:val="000000"/>
        </w:rPr>
        <w:t>，产品以普通板材、贴牌出口为主，高度依赖海外市场。近年来，石材企业大力推广智能切割、循环用水、废料再利用等技术，石材出材率提升至</w:t>
      </w:r>
      <w:r>
        <w:rPr>
          <w:rFonts w:ascii="Times New Roman" w:eastAsia="Times New Roman" w:hAnsi="Times New Roman" w:cs="Times New Roman"/>
          <w:color w:val="000000"/>
        </w:rPr>
        <w:t>87%</w:t>
      </w:r>
      <w:r>
        <w:rPr>
          <w:rFonts w:ascii="楷体" w:eastAsia="楷体" w:hAnsi="楷体" w:cs="楷体"/>
          <w:color w:val="000000"/>
        </w:rPr>
        <w:t>，逐步向绿色化、高端化发展。下图示意福建省南安市水头镇位置。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81100" cy="11334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分析水头镇发展成为“世界石都”的有利区位条件。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简述水头镇早期石材产业发展存在的主要问题。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说明近年来水头镇石材企业推广新技术的价值。</w:t>
      </w:r>
    </w:p>
    <w:sectPr w:rsidSect="00C321EB">
      <w:headerReference w:type="default" r:id="rId13"/>
      <w:footerReference w:type="default" r:id="rId14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header" Target="header1.xml" /><Relationship Id="rId14" Type="http://schemas.openxmlformats.org/officeDocument/2006/relationships/footer" Target="footer1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.png" /><Relationship Id="rId2" Type="http://schemas.openxmlformats.org/officeDocument/2006/relationships/image" Target="media/image10.png" /><Relationship Id="rId3" Type="http://schemas.openxmlformats.org/officeDocument/2006/relationships/image" Target="media/image11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4052807908279296</dc:description>
  <cp:lastModifiedBy>学科网试题生产平台</cp:lastModifiedBy>
  <cp:revision>9</cp:revision>
  <dcterms:created xsi:type="dcterms:W3CDTF">2026-07-13T22:38:17Z</dcterms:created>
  <dcterms:modified xsi:type="dcterms:W3CDTF">2026-07-13T22:38:17Z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lbum" pid="2">
    <vt:lpwstr>rbm.xkw.com</vt:lpwstr>
  </property>
  <property fmtid="{D5CDD505-2E9C-101B-9397-08002B2CF9AE}" name="author" pid="3">
    <vt:lpwstr>rbm.xkw.com</vt:lpwstr>
  </property>
  <property fmtid="{D5CDD505-2E9C-101B-9397-08002B2CF9AE}" name="company" pid="4">
    <vt:lpwstr>学科网</vt:lpwstr>
  </property>
  <property fmtid="{D5CDD505-2E9C-101B-9397-08002B2CF9AE}" name="copyright" pid="5">
    <vt:lpwstr>学科网版权所有</vt:lpwstr>
  </property>
  <property fmtid="{D5CDD505-2E9C-101B-9397-08002B2CF9AE}" name="AIGC" pid="6">
    <vt:lpwstr>{"ContentPropagator":"XKW","Label":"2","ProduceID":"4052807908279296","PropagateID":"58799766","ContentProducer":"XKW"}</vt:lpwstr>
  </property>
</Properties>
</file>