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FC5860" w:rsidRPr="00BE1BCD">
      <w:pPr>
        <w:spacing w:line="285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5515610</wp:posOffset>
            </wp:positionH>
            <wp:positionV relativeFrom="page">
              <wp:posOffset>69850</wp:posOffset>
            </wp:positionV>
            <wp:extent cx="1358900" cy="508000"/>
            <wp:wrapNone/>
            <wp:docPr id="1000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9264" behindDoc="0" locked="0" layoutInCell="1" allowOverlap="1">
            <wp:simplePos x="0" y="0"/>
            <wp:positionH relativeFrom="page">
              <wp:posOffset>12103100</wp:posOffset>
            </wp:positionH>
            <wp:positionV relativeFrom="topMargin">
              <wp:posOffset>11023600</wp:posOffset>
            </wp:positionV>
            <wp:extent cx="342900" cy="457200"/>
            <wp:wrapNone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60288" behindDoc="0" locked="0" layoutInCell="1" allowOverlap="1">
            <wp:simplePos x="0" y="0"/>
            <wp:positionH relativeFrom="page">
              <wp:posOffset>11747500</wp:posOffset>
            </wp:positionH>
            <wp:positionV relativeFrom="topMargin">
              <wp:posOffset>12369800</wp:posOffset>
            </wp:positionV>
            <wp:extent cx="317500" cy="406400"/>
            <wp:wrapNone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年重庆市普通高等学校招生全国统一考试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地理试题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．作答前，考生务必将自己的姓名、考场号、座位号填写在试卷的规定位置上。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．作答时，务必将答案写在答题卡上，写在试卷及草稿纸上无效。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．考试结束后，须将答题卡、试卷、草稿纸一并交回。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分。在每小题给出的四个选项中，只有一项是符合题目要求的。</w:t>
      </w:r>
    </w:p>
    <w:p w:rsidR="00FC5860" w:rsidRPr="00BE1BCD">
      <w:pPr>
        <w:spacing w:line="360" w:lineRule="auto"/>
        <w:ind w:firstLine="420"/>
        <w:jc w:val="left"/>
      </w:pPr>
      <w:r>
        <w:rPr>
          <w:rFonts w:ascii="楷体" w:eastAsia="楷体" w:hAnsi="楷体" w:cs="楷体"/>
          <w:color w:val="auto"/>
        </w:rPr>
        <w:t>目前，中国与欧盟互为重要的贸易伙伴，货物运输频繁。</w:t>
      </w:r>
      <w:r>
        <w:rPr>
          <w:rFonts w:ascii="Times New Roman" w:eastAsia="Times New Roman" w:hAnsi="Times New Roman" w:cs="Times New Roman"/>
          <w:color w:val="auto"/>
        </w:rPr>
        <w:t>2024</w:t>
      </w:r>
      <w:r>
        <w:rPr>
          <w:rFonts w:ascii="楷体" w:eastAsia="楷体" w:hAnsi="楷体" w:cs="楷体"/>
          <w:color w:val="auto"/>
        </w:rPr>
        <w:t>年</w:t>
      </w:r>
      <w:r>
        <w:rPr>
          <w:rFonts w:ascii="Times New Roman" w:eastAsia="Times New Roman" w:hAnsi="Times New Roman" w:cs="Times New Roman"/>
          <w:color w:val="auto"/>
        </w:rPr>
        <w:t>12</w:t>
      </w:r>
      <w:r>
        <w:rPr>
          <w:rFonts w:ascii="楷体" w:eastAsia="楷体" w:hAnsi="楷体" w:cs="楷体"/>
          <w:color w:val="auto"/>
        </w:rPr>
        <w:t>月</w:t>
      </w:r>
      <w:r>
        <w:rPr>
          <w:rFonts w:ascii="Times New Roman" w:eastAsia="Times New Roman" w:hAnsi="Times New Roman" w:cs="Times New Roman"/>
          <w:color w:val="auto"/>
        </w:rPr>
        <w:t>30</w:t>
      </w:r>
      <w:r>
        <w:rPr>
          <w:rFonts w:ascii="楷体" w:eastAsia="楷体" w:hAnsi="楷体" w:cs="楷体"/>
          <w:color w:val="auto"/>
        </w:rPr>
        <w:t>日，满载货物的</w:t>
      </w:r>
      <w:r>
        <w:rPr>
          <w:rFonts w:ascii="宋体" w:eastAsia="宋体" w:hAnsi="宋体" w:cs="宋体"/>
          <w:color w:val="auto"/>
        </w:rPr>
        <w:t>“</w:t>
      </w:r>
      <w:r>
        <w:rPr>
          <w:rFonts w:ascii="楷体" w:eastAsia="楷体" w:hAnsi="楷体" w:cs="楷体"/>
          <w:color w:val="auto"/>
        </w:rPr>
        <w:t>嘉华宁波</w:t>
      </w:r>
      <w:r>
        <w:rPr>
          <w:rFonts w:ascii="宋体" w:eastAsia="宋体" w:hAnsi="宋体" w:cs="宋体"/>
          <w:color w:val="auto"/>
        </w:rPr>
        <w:t>”</w:t>
      </w:r>
      <w:r>
        <w:rPr>
          <w:rFonts w:ascii="楷体" w:eastAsia="楷体" w:hAnsi="楷体" w:cs="楷体"/>
          <w:color w:val="auto"/>
        </w:rPr>
        <w:t>号从宁波舟山港起航，点对点直航德国威廉港标志着</w:t>
      </w:r>
      <w:r>
        <w:rPr>
          <w:rFonts w:ascii="宋体" w:eastAsia="宋体" w:hAnsi="宋体" w:cs="宋体"/>
          <w:color w:val="auto"/>
        </w:rPr>
        <w:t>“</w:t>
      </w:r>
      <w:r>
        <w:rPr>
          <w:rFonts w:ascii="楷体" w:eastAsia="楷体" w:hAnsi="楷体" w:cs="楷体"/>
          <w:color w:val="auto"/>
        </w:rPr>
        <w:t>中欧快航</w:t>
      </w:r>
      <w:r>
        <w:rPr>
          <w:rFonts w:ascii="宋体" w:eastAsia="宋体" w:hAnsi="宋体" w:cs="宋体"/>
          <w:color w:val="auto"/>
        </w:rPr>
        <w:t>”</w:t>
      </w:r>
      <w:r>
        <w:rPr>
          <w:rFonts w:ascii="楷体" w:eastAsia="楷体" w:hAnsi="楷体" w:cs="楷体"/>
          <w:color w:val="auto"/>
        </w:rPr>
        <w:t>航线正式开通。该航线的开通降低了运输成本，提高了运输效率。据此完成下面小题。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开通“中欧快航”航线主要是因为（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通航条件好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运输需求增加</w:t>
      </w:r>
      <w:r w:rsidRPr="00BE1BCD" w:rsidR="00FC5860">
        <w:tab/>
      </w: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运输风险低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航运技术先进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2. </w:t>
      </w:r>
      <w:r>
        <w:rPr>
          <w:rFonts w:ascii="宋体" w:eastAsia="宋体" w:hAnsi="宋体" w:cs="宋体"/>
          <w:color w:val="auto"/>
        </w:rPr>
        <w:t>“中欧快航”能够提高运输效率的主要原因是（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货物种类多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劳动成本低</w:t>
      </w:r>
      <w:r w:rsidRPr="00BE1BCD" w:rsidR="00FC5860">
        <w:tab/>
      </w: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运输距离短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中转环节少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2024</w:t>
      </w:r>
      <w:r>
        <w:rPr>
          <w:rFonts w:ascii="楷体" w:eastAsia="楷体" w:hAnsi="楷体" w:cs="楷体"/>
          <w:color w:val="000000"/>
        </w:rPr>
        <w:t>年，我国完成了第三次土壤普查的野外采样工作。普查发现，河北省南部到东部地区广泛分布某种厚层土壤。该土壤分层明显，保水保肥，通气性好，被当地人称为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蒙金土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“蒙金土”成土母质的形成主要缘于（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海岸淤积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黄土沉降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河流泛滥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基岩风化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“蒙金土”的质地为（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上砂下黏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上黏下砂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上下均砂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上下均黏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楷体" w:eastAsia="楷体" w:hAnsi="楷体" w:cs="楷体"/>
          <w:color w:val="000000"/>
        </w:rPr>
        <w:t>世纪</w:t>
      </w:r>
      <w:r>
        <w:rPr>
          <w:rFonts w:ascii="Times New Roman" w:eastAsia="Times New Roman" w:hAnsi="Times New Roman" w:cs="Times New Roman"/>
          <w:color w:val="000000"/>
        </w:rPr>
        <w:t>90</w:t>
      </w:r>
      <w:r>
        <w:rPr>
          <w:rFonts w:ascii="楷体" w:eastAsia="楷体" w:hAnsi="楷体" w:cs="楷体"/>
          <w:color w:val="000000"/>
        </w:rPr>
        <w:t>年代，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波兰煤都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卡托维兹市的煤炭和钢铁工业走向衰落。</w:t>
      </w:r>
      <w:r>
        <w:rPr>
          <w:rFonts w:ascii="Times New Roman" w:eastAsia="Times New Roman" w:hAnsi="Times New Roman" w:cs="Times New Roman"/>
          <w:color w:val="000000"/>
        </w:rPr>
        <w:t>2008</w:t>
      </w:r>
      <w:r>
        <w:rPr>
          <w:rFonts w:ascii="楷体" w:eastAsia="楷体" w:hAnsi="楷体" w:cs="楷体"/>
          <w:color w:val="000000"/>
        </w:rPr>
        <w:t>年，该市开始以音乐文化产业作为经济转型重点，每年举办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楷体" w:eastAsia="楷体" w:hAnsi="楷体" w:cs="楷体"/>
          <w:color w:val="000000"/>
        </w:rPr>
        <w:t>多个音乐节，但成效有限。</w:t>
      </w:r>
      <w:r>
        <w:rPr>
          <w:rFonts w:ascii="Times New Roman" w:eastAsia="Times New Roman" w:hAnsi="Times New Roman" w:cs="Times New Roman"/>
          <w:color w:val="000000"/>
        </w:rPr>
        <w:t>2013</w:t>
      </w:r>
      <w:r>
        <w:rPr>
          <w:rFonts w:ascii="楷体" w:eastAsia="楷体" w:hAnsi="楷体" w:cs="楷体"/>
          <w:color w:val="000000"/>
        </w:rPr>
        <w:t>年起，该市以举办世界顶级电竞大赛为契机，围绕节目制作、赛事组织、网络直播等大力发展电竞产业，现已成为欧洲电竞中心。如今，该市正利用音乐文化人才优势，推动电竞音乐创作本土化，促进音乐文化产业和电竞产业的融合发展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该市产业转型可利用煤炭和钢铁工业时期的（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自然资源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技术基础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交通条件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市场范围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下列产业融合中，与该市产业融合方式最相近的是（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农机制造与粮食种植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生态农业与观光旅游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14918872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872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钢铁冶炼与汽车制造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软件开发与电子商务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龙游县位于浙江省西部，海拔</w:t>
      </w:r>
      <w:r>
        <w:rPr>
          <w:rFonts w:ascii="Times New Roman" w:eastAsia="Times New Roman" w:hAnsi="Times New Roman" w:cs="Times New Roman"/>
          <w:color w:val="000000"/>
        </w:rPr>
        <w:t>35~1442</w:t>
      </w:r>
      <w:r>
        <w:rPr>
          <w:rFonts w:ascii="楷体" w:eastAsia="楷体" w:hAnsi="楷体" w:cs="楷体"/>
          <w:color w:val="000000"/>
        </w:rPr>
        <w:t>米，地形复杂多样，衢江自西向东流经县城。近年来，该县城镇化水平不断提高。某科研小组收集了该县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楷体" w:eastAsia="楷体" w:hAnsi="楷体" w:cs="楷体"/>
          <w:color w:val="000000"/>
        </w:rPr>
        <w:t>个气象站（点）的气温资料，在地貌分区图上叠绘了该县多年平均气温等值线（如图）。据此完成下面小题。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71800" cy="29813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图中等温线数值关系是（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&gt;T</w:t>
      </w:r>
      <w:r>
        <w:rPr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&gt;T</w:t>
      </w:r>
      <w:r>
        <w:rPr>
          <w:color w:val="000000"/>
          <w:vertAlign w:val="subscript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&gt;T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且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&gt;T</w:t>
      </w:r>
      <w:r>
        <w:rPr>
          <w:color w:val="000000"/>
          <w:vertAlign w:val="subscript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color w:val="000000"/>
          <w:vertAlign w:val="subscript"/>
        </w:rPr>
        <w:t>5</w:t>
      </w:r>
      <w:r>
        <w:rPr>
          <w:rFonts w:ascii="Times New Roman" w:eastAsia="Times New Roman" w:hAnsi="Times New Roman" w:cs="Times New Roman"/>
          <w:color w:val="000000"/>
        </w:rPr>
        <w:t>&gt;T</w:t>
      </w:r>
      <w:r>
        <w:rPr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&gt;T</w:t>
      </w:r>
      <w:r>
        <w:rPr>
          <w:color w:val="000000"/>
          <w:vertAlign w:val="subscript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&lt;T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且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&lt;T</w:t>
      </w:r>
      <w:r>
        <w:rPr>
          <w:color w:val="000000"/>
          <w:vertAlign w:val="subscript"/>
        </w:rPr>
        <w:t>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近年来，该县域内人口迁移方向最可能是（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甲→丙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乙→丙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丙→丁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丙→甲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气象条件是影响大气污染的重要因素之一，</w:t>
      </w:r>
      <w:r>
        <w:rPr>
          <w:rFonts w:ascii="Times New Roman" w:eastAsia="Times New Roman" w:hAnsi="Times New Roman" w:cs="Times New Roman"/>
          <w:color w:val="000000"/>
        </w:rPr>
        <w:t>2020</w:t>
      </w:r>
      <w:r>
        <w:rPr>
          <w:rFonts w:ascii="楷体" w:eastAsia="楷体" w:hAnsi="楷体" w:cs="楷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楷体" w:eastAsia="楷体" w:hAnsi="楷体" w:cs="楷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11~13</w:t>
      </w:r>
      <w:r>
        <w:rPr>
          <w:rFonts w:ascii="楷体" w:eastAsia="楷体" w:hAnsi="楷体" w:cs="楷体"/>
          <w:color w:val="000000"/>
        </w:rPr>
        <w:t>日，长三角及周边地区发生一次空气污染事件。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楷体" w:eastAsia="楷体" w:hAnsi="楷体" w:cs="楷体"/>
          <w:color w:val="000000"/>
        </w:rPr>
        <w:t>日，该区域内部分地区大气颗粒物（</w:t>
      </w:r>
      <w:r>
        <w:rPr>
          <w:rFonts w:ascii="Times New Roman" w:eastAsia="Times New Roman" w:hAnsi="Times New Roman" w:cs="Times New Roman"/>
          <w:color w:val="000000"/>
        </w:rPr>
        <w:t>PM</w:t>
      </w:r>
      <w:r>
        <w:rPr>
          <w:rFonts w:ascii="楷体" w:eastAsia="楷体" w:hAnsi="楷体" w:cs="楷体"/>
          <w:color w:val="000000"/>
        </w:rPr>
        <w:t>）浓度达到重度污染标准；</w:t>
      </w:r>
      <w:r>
        <w:rPr>
          <w:rFonts w:ascii="Times New Roman" w:eastAsia="Times New Roman" w:hAnsi="Times New Roman" w:cs="Times New Roman"/>
          <w:color w:val="000000"/>
        </w:rPr>
        <w:t>13</w:t>
      </w:r>
      <w:r>
        <w:rPr>
          <w:rFonts w:ascii="楷体" w:eastAsia="楷体" w:hAnsi="楷体" w:cs="楷体"/>
          <w:color w:val="000000"/>
        </w:rPr>
        <w:t>日，各地污染状况先后缓解。下图示意北京时间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楷体" w:eastAsia="楷体" w:hAnsi="楷体" w:cs="楷体"/>
          <w:color w:val="000000"/>
        </w:rPr>
        <w:t>日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楷体" w:eastAsia="楷体" w:hAnsi="楷体" w:cs="楷体"/>
          <w:color w:val="000000"/>
        </w:rPr>
        <w:t>时亚洲局部地区海平面气压形势。据此完成下面小题。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52650" cy="21145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北京时间</w:t>
      </w:r>
      <w:r>
        <w:rPr>
          <w:rFonts w:ascii="Times New Roman" w:eastAsia="Times New Roman" w:hAnsi="Times New Roman" w:cs="Times New Roman"/>
          <w:color w:val="000000"/>
        </w:rPr>
        <w:t>12日20</w:t>
      </w:r>
      <w:r>
        <w:rPr>
          <w:rFonts w:ascii="宋体" w:eastAsia="宋体" w:hAnsi="宋体" w:cs="宋体"/>
          <w:color w:val="000000"/>
        </w:rPr>
        <w:t>时前后，长三角地区比图中甲城（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水汽少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气温低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风力弱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气压高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该区域内污染状况首先缓解的应是（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江苏北部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安徽南部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江西东部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浙江西部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铍矿是我国紧缺战略性矿产资源之一。</w:t>
      </w:r>
      <w:r>
        <w:rPr>
          <w:rFonts w:ascii="Times New Roman" w:eastAsia="Times New Roman" w:hAnsi="Times New Roman" w:cs="Times New Roman"/>
          <w:color w:val="000000"/>
        </w:rPr>
        <w:t>2024</w:t>
      </w:r>
      <w:r>
        <w:rPr>
          <w:rFonts w:ascii="楷体" w:eastAsia="楷体" w:hAnsi="楷体" w:cs="楷体"/>
          <w:color w:val="000000"/>
        </w:rPr>
        <w:t>年我国在鄂湘赣交界的幕阜山地区发现含铍矿的岩体。该岩体是岩浆多期侵入到上覆岩层中冷却形成，后经剥蚀出露地表。为确定岩体形成时间，研究人员对周边地层进行了详细地质调查。下图示意幕阜山局部地区该类岩体及周边地层分布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248150" cy="20097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该地铍矿所在岩体的类型应是（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砂页岩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石灰岩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玄武岩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花岗岩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该地铍矿所在岩体形成时间可能是（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早于寒武纪，晚于元古宙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早于元古宙，晚于太古宙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早于第四纪，晚于奥陶纪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早于奥陶纪，晚于寒武纪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该地第四纪地层分布区可能发育的地貌是（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黄土梁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形谷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火山锥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落水洞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萨拉文化中心大楼位于瑞典谢莱夫特奥市（</w:t>
      </w:r>
      <w:r>
        <w:rPr>
          <w:rFonts w:ascii="Times New Roman" w:eastAsia="Times New Roman" w:hAnsi="Times New Roman" w:cs="Times New Roman"/>
          <w:color w:val="000000"/>
        </w:rPr>
        <w:t>64</w:t>
      </w:r>
      <w:r>
        <w:rPr>
          <w:rFonts w:ascii="楷体" w:eastAsia="楷体" w:hAnsi="楷体" w:cs="楷体"/>
          <w:color w:val="000000"/>
        </w:rPr>
        <w:t>°</w:t>
      </w:r>
      <w:r>
        <w:rPr>
          <w:rFonts w:ascii="Times New Roman" w:eastAsia="Times New Roman" w:hAnsi="Times New Roman" w:cs="Times New Roman"/>
          <w:color w:val="000000"/>
        </w:rPr>
        <w:t>48'N</w:t>
      </w:r>
      <w:r>
        <w:rPr>
          <w:rFonts w:ascii="楷体" w:eastAsia="楷体" w:hAnsi="楷体" w:cs="楷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21</w:t>
      </w:r>
      <w:r>
        <w:rPr>
          <w:rFonts w:ascii="楷体" w:eastAsia="楷体" w:hAnsi="楷体" w:cs="楷体"/>
          <w:color w:val="000000"/>
        </w:rPr>
        <w:t>°</w:t>
      </w:r>
      <w:r>
        <w:rPr>
          <w:rFonts w:ascii="Times New Roman" w:eastAsia="Times New Roman" w:hAnsi="Times New Roman" w:cs="Times New Roman"/>
          <w:color w:val="000000"/>
        </w:rPr>
        <w:t>00'E</w:t>
      </w:r>
      <w:r>
        <w:rPr>
          <w:rFonts w:ascii="楷体" w:eastAsia="楷体" w:hAnsi="楷体" w:cs="楷体"/>
          <w:color w:val="000000"/>
        </w:rPr>
        <w:t>），是全球第三高的现代木结构建筑。该建筑所用木材全部来自本地地带性植被，在低楼层采用垂直百叶窗以更好满足采光、通风等需要。下图为垂直百叶窗示意图。据此完成下面小题。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90825" cy="21050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该建筑物木材所采用的地带性植被还分布于（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西西伯利亚平原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亚马孙平原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长江中下游平原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美索不达米亚平原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22</w:t>
      </w:r>
      <w:r>
        <w:rPr>
          <w:rFonts w:ascii="宋体" w:eastAsia="宋体" w:hAnsi="宋体" w:cs="宋体"/>
          <w:color w:val="000000"/>
        </w:rPr>
        <w:t>日，正东朝向的垂直百叶窗在α</w:t>
      </w:r>
      <w:r>
        <w:rPr>
          <w:rFonts w:ascii="Times New Roman" w:eastAsia="Times New Roman" w:hAnsi="Times New Roman" w:cs="Times New Roman"/>
          <w:color w:val="000000"/>
        </w:rPr>
        <w:t>=90</w:t>
      </w:r>
      <w:r>
        <w:rPr>
          <w:rFonts w:ascii="宋体" w:eastAsia="宋体" w:hAnsi="宋体" w:cs="宋体"/>
          <w:color w:val="000000"/>
        </w:rPr>
        <w:t>°时，阳光照射进房间（忽略叶片厚度）的理论时长约为（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小时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小时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小时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21</w:t>
      </w:r>
      <w:r>
        <w:rPr>
          <w:rFonts w:ascii="宋体" w:eastAsia="宋体" w:hAnsi="宋体" w:cs="宋体"/>
          <w:color w:val="000000"/>
        </w:rPr>
        <w:t>小时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二、非选择题：本大题共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55</w:t>
      </w:r>
      <w:r>
        <w:rPr>
          <w:rFonts w:ascii="宋体" w:eastAsia="宋体" w:hAnsi="宋体" w:cs="宋体"/>
          <w:b/>
          <w:color w:val="000000"/>
          <w:sz w:val="24"/>
        </w:rPr>
        <w:t>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阅读图文材料，完成下列要求。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瑞士小镇瓦尔斯地处阿尔卑斯山峡谷之中，温泉资源丰富，人口约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楷体" w:eastAsia="楷体" w:hAnsi="楷体" w:cs="楷体"/>
          <w:color w:val="000000"/>
        </w:rPr>
        <w:t>人，对外交通仅有一条公路。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楷体" w:eastAsia="楷体" w:hAnsi="楷体" w:cs="楷体"/>
          <w:color w:val="000000"/>
        </w:rPr>
        <w:t>世纪末，当地利用废弃采石场，建成洞穴式温泉浴场。该温泉浴场受洪水威胁较小，对场镇居民生产生活影响也小。</w:t>
      </w:r>
      <w:r>
        <w:rPr>
          <w:rFonts w:ascii="Times New Roman" w:eastAsia="Times New Roman" w:hAnsi="Times New Roman" w:cs="Times New Roman"/>
          <w:color w:val="000000"/>
        </w:rPr>
        <w:t>2009</w:t>
      </w:r>
      <w:r>
        <w:rPr>
          <w:rFonts w:ascii="楷体" w:eastAsia="楷体" w:hAnsi="楷体" w:cs="楷体"/>
          <w:color w:val="000000"/>
        </w:rPr>
        <w:t>年瓦尔斯温泉浴场获得世界建筑界最高奖，极大提升了该镇知名度，但至今该镇温泉旅游业规模仍然较小。如图为瓦尔斯温泉浴场位置示意图。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314825" cy="18097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分析瓦尔斯温泉浴场对场镇及周边区域环境影响小的原因。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说明瓦尔斯温泉浴场受洪水威胁较小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原因。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指出限制该镇大规模发展温泉旅游业的区位条件。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阅读文字材料，完成下列要求。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广西南宁市马山县被誉为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中国黑山羊之乡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，黑山羊养殖历史悠久，养殖农户多。该县黑山羊肉质优良，较多销往粤港澳地区。马山县属喀斯特丘陵山区，森林覆盖率超过</w:t>
      </w:r>
      <w:r>
        <w:rPr>
          <w:rFonts w:ascii="Times New Roman" w:eastAsia="Times New Roman" w:hAnsi="Times New Roman" w:cs="Times New Roman"/>
          <w:color w:val="000000"/>
        </w:rPr>
        <w:t>70%</w:t>
      </w:r>
      <w:r>
        <w:rPr>
          <w:rFonts w:ascii="楷体" w:eastAsia="楷体" w:hAnsi="楷体" w:cs="楷体"/>
          <w:color w:val="000000"/>
        </w:rPr>
        <w:t>。当地黑山羊传统养殖方式为就近放养于山岭间，以灌丛和野草等为食，植被被黑山羊啃食之后恢复周期较长。为解决此问题，近年来当地政府积极推广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无土牧草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栽培技术，生态效益明显。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从合理利用土地角度，分析马山县有较多农户放养黑山羊的原因。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马山县黑山羊销往粤港澳地区较多，主要是因为：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①马山县所在省区与粤港澳地区毗邻，运输距离短，运输成本低；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②马山县发展较为滞后，当地黑山羊销售价格与粤港澳地区差异大，将黑山羊销往粤港澳地区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③粤港澳地区人口众多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从地形角度，分析该地被黑山羊啃食后的植被恢复周期较长的原因。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阅读图文材料，完成下列要求。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蒙新河狸是国家一级重点保护野生动物，在我国仅栖息于新疆准噶尔盆地乌伦古河（内流河）的河水与近岸。乌伦古河发源于阿尔泰山，近几十年来该流域农牧业发展迅速，蒙新河狸因栖息地减少濒临灭绝。调查表明，在乌伦古河干流河段，下游较上游蒙新河狸更为稀少。</w:t>
      </w:r>
      <w:r>
        <w:rPr>
          <w:rFonts w:ascii="Times New Roman" w:eastAsia="Times New Roman" w:hAnsi="Times New Roman" w:cs="Times New Roman"/>
          <w:color w:val="000000"/>
        </w:rPr>
        <w:t>2018</w:t>
      </w:r>
      <w:r>
        <w:rPr>
          <w:rFonts w:ascii="楷体" w:eastAsia="楷体" w:hAnsi="楷体" w:cs="楷体"/>
          <w:color w:val="000000"/>
        </w:rPr>
        <w:t>年以来，几名青年志愿者发起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河狸食堂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公益活动，克服当地自然条件的限制，在乌伦古河两岸种植河狸喜食的灌木柳。迄今为止，我国蒙新河狸的数量增加到约</w:t>
      </w:r>
      <w:r>
        <w:rPr>
          <w:rFonts w:ascii="Times New Roman" w:eastAsia="Times New Roman" w:hAnsi="Times New Roman" w:cs="Times New Roman"/>
          <w:color w:val="000000"/>
        </w:rPr>
        <w:t>750</w:t>
      </w:r>
      <w:r>
        <w:rPr>
          <w:rFonts w:ascii="楷体" w:eastAsia="楷体" w:hAnsi="楷体" w:cs="楷体"/>
          <w:color w:val="000000"/>
        </w:rPr>
        <w:t>只。如图示意乌伦古河干流下游河段水文地质剖面。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724400" cy="22098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在图中选择正确的图案，填入图例中的甲、乙两处，并说明理由。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分析乌伦古河干流下游河段蒙新河狸更为稀少的径流量原因。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分析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地种植灌木柳的地下水条件。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作为一名青年学生，除到当地植树外，你还能参与哪些蒙新河狸保护行动？请提出一项行动，并写出该行动促进蒙新河狸数量增长的地理过程。</w:t>
      </w:r>
    </w:p>
    <w:sectPr w:rsidSect="00C321EB">
      <w:headerReference w:type="default" r:id="rId16"/>
      <w:footerReference w:type="default" r:id="rId17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wmf" /><Relationship Id="rId15" Type="http://schemas.openxmlformats.org/officeDocument/2006/relationships/image" Target="media/image11.png" /><Relationship Id="rId16" Type="http://schemas.openxmlformats.org/officeDocument/2006/relationships/header" Target="header1.xml" /><Relationship Id="rId17" Type="http://schemas.openxmlformats.org/officeDocument/2006/relationships/footer" Target="footer1.xml" /><Relationship Id="rId18" Type="http://schemas.openxmlformats.org/officeDocument/2006/relationships/theme" Target="theme/theme1.xml" /><Relationship Id="rId19" Type="http://schemas.openxmlformats.org/officeDocument/2006/relationships/numbering" Target="numbering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wmf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2.png" /><Relationship Id="rId2" Type="http://schemas.openxmlformats.org/officeDocument/2006/relationships/image" Target="media/image13.png" /><Relationship Id="rId3" Type="http://schemas.openxmlformats.org/officeDocument/2006/relationships/image" Target="media/image1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3801667971309568</dc:description>
  <cp:lastModifiedBy>学科网试题生产平台</cp:lastModifiedBy>
  <cp:revision>9</cp:revision>
  <dcterms:created xsi:type="dcterms:W3CDTF">2026-03-29T17:50:27Z</dcterms:created>
  <dcterms:modified xsi:type="dcterms:W3CDTF">2026-03-29T17:50:27Z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