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249DA">
      <w:pPr>
        <w:keepLines w:val="0"/>
        <w:pageBreakBefore w:val="0"/>
        <w:widowControl/>
        <w:kinsoku/>
        <w:wordWrap/>
        <w:overflowPunct/>
        <w:topLinePunct w:val="0"/>
        <w:autoSpaceDE/>
        <w:autoSpaceDN/>
        <w:bidi w:val="0"/>
        <w:adjustRightInd/>
        <w:snapToGrid/>
        <w:spacing w:line="360" w:lineRule="auto"/>
        <w:jc w:val="left"/>
        <w:textAlignment w:val="auto"/>
        <w:rPr>
          <w:rFonts w:ascii="Times New Roman" w:eastAsia="宋体" w:hAnsi="Times New Roman" w:cs="Times New Roman" w:hint="default"/>
          <w:b/>
          <w:bCs/>
          <w:i w:val="0"/>
          <w:sz w:val="24"/>
          <w:szCs w:val="24"/>
          <w:bdr w:val="single" w:sz="4" w:space="0" w:color="auto"/>
          <w:lang w:val="en-US" w:eastAsia="zh-CN"/>
        </w:rPr>
      </w:pPr>
      <w:r>
        <w:rPr>
          <w:rFonts w:ascii="Times New Roman" w:eastAsia="宋体" w:hAnsi="Times New Roman" w:cs="Times New Roman" w:hint="eastAsia"/>
          <w:b/>
          <w:bCs/>
          <w:i w:val="0"/>
          <w:sz w:val="24"/>
          <w:szCs w:val="24"/>
          <w:bdr w:val="single" w:sz="4" w:space="0" w:color="auto"/>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7pt;height:30pt;margin-top:948pt;margin-left:828pt;mso-position-horizontal-relative:page;mso-position-vertical-relative:top-margin-area;position:absolute;z-index:251658240">
            <v:imagedata r:id="rId4" o:title=""/>
            <o:lock v:ext="edit" aspectratio="t"/>
          </v:shape>
        </w:pict>
      </w:r>
      <w:bookmarkStart w:id="0" w:name="page_1"/>
      <w:r>
        <w:rPr>
          <w:rFonts w:ascii="Times New Roman" w:eastAsia="宋体" w:hAnsi="Times New Roman" w:cs="Times New Roman" w:hint="eastAsia"/>
          <w:b/>
          <w:bCs/>
          <w:i w:val="0"/>
          <w:sz w:val="24"/>
          <w:szCs w:val="24"/>
          <w:bdr w:val="single" w:sz="4" w:space="0" w:color="auto"/>
          <w:lang w:val="en-US" w:eastAsia="zh-CN"/>
        </w:rPr>
        <w:t>保密★启用前</w:t>
      </w:r>
    </w:p>
    <w:p w14:paraId="3C45541A">
      <w:pPr>
        <w:keepLines w:val="0"/>
        <w:pageBreakBefore w:val="0"/>
        <w:widowControl/>
        <w:kinsoku/>
        <w:wordWrap/>
        <w:overflowPunct/>
        <w:topLinePunct w:val="0"/>
        <w:autoSpaceDE/>
        <w:autoSpaceDN/>
        <w:bidi w:val="0"/>
        <w:adjustRightInd/>
        <w:snapToGrid/>
        <w:spacing w:line="360" w:lineRule="auto"/>
        <w:jc w:val="center"/>
        <w:textAlignment w:val="auto"/>
        <w:rPr>
          <w:rFonts w:ascii="宋体" w:eastAsia="宋体" w:hAnsi="宋体" w:cs="宋体" w:hint="eastAsia"/>
          <w:b/>
          <w:bCs/>
          <w:i w:val="0"/>
          <w:sz w:val="32"/>
          <w:szCs w:val="32"/>
        </w:rPr>
      </w:pPr>
      <w:r>
        <w:rPr>
          <w:rFonts w:ascii="Times New Roman" w:eastAsia="宋体" w:hAnsi="Times New Roman" w:cs="Times New Roman" w:hint="default"/>
          <w:b/>
          <w:bCs/>
          <w:i w:val="0"/>
          <w:sz w:val="32"/>
          <w:szCs w:val="32"/>
        </w:rPr>
        <w:t>2025-2026</w:t>
      </w:r>
      <w:r>
        <w:rPr>
          <w:rFonts w:ascii="宋体" w:eastAsia="宋体" w:hAnsi="宋体" w:cs="宋体" w:hint="eastAsia"/>
          <w:b/>
          <w:bCs/>
          <w:i w:val="0"/>
          <w:sz w:val="32"/>
          <w:szCs w:val="32"/>
        </w:rPr>
        <w:t>学年度下学期期末高二参考试题</w:t>
      </w:r>
    </w:p>
    <w:p w14:paraId="7DE12765">
      <w:pPr>
        <w:keepLines w:val="0"/>
        <w:pageBreakBefore w:val="0"/>
        <w:widowControl/>
        <w:kinsoku/>
        <w:wordWrap/>
        <w:overflowPunct/>
        <w:topLinePunct w:val="0"/>
        <w:autoSpaceDE/>
        <w:autoSpaceDN/>
        <w:bidi w:val="0"/>
        <w:adjustRightInd/>
        <w:snapToGrid/>
        <w:spacing w:line="360" w:lineRule="auto"/>
        <w:jc w:val="right"/>
        <w:textAlignment w:val="auto"/>
        <w:rPr>
          <w:rFonts w:ascii="Times New Roman" w:eastAsia="宋体" w:hAnsi="Times New Roman" w:cs="Times New Roman" w:hint="default"/>
          <w:b/>
          <w:bCs/>
          <w:i w:val="0"/>
          <w:sz w:val="24"/>
          <w:szCs w:val="24"/>
          <w:lang w:val="en-US" w:eastAsia="zh-CN"/>
        </w:rPr>
      </w:pPr>
      <w:r>
        <w:rPr>
          <w:rFonts w:ascii="Times New Roman" w:eastAsia="宋体" w:hAnsi="Times New Roman" w:cs="Times New Roman" w:hint="default"/>
          <w:b/>
          <w:bCs/>
          <w:i w:val="0"/>
          <w:sz w:val="24"/>
          <w:szCs w:val="24"/>
          <w:lang w:val="en-US" w:eastAsia="zh-CN"/>
        </w:rPr>
        <w:t>2026.07</w:t>
      </w:r>
    </w:p>
    <w:p w14:paraId="41FABB6F">
      <w:pPr>
        <w:keepLines w:val="0"/>
        <w:pageBreakBefore w:val="0"/>
        <w:widowControl/>
        <w:kinsoku/>
        <w:wordWrap/>
        <w:overflowPunct/>
        <w:topLinePunct w:val="0"/>
        <w:autoSpaceDE/>
        <w:autoSpaceDN/>
        <w:bidi w:val="0"/>
        <w:adjustRightInd/>
        <w:snapToGrid/>
        <w:spacing w:line="360" w:lineRule="auto"/>
        <w:jc w:val="center"/>
        <w:textAlignment w:val="auto"/>
        <w:rPr>
          <w:rFonts w:ascii="宋体" w:eastAsia="宋体" w:hAnsi="宋体" w:cs="宋体" w:hint="eastAsia"/>
          <w:b/>
          <w:bCs/>
          <w:i w:val="0"/>
          <w:sz w:val="32"/>
          <w:szCs w:val="32"/>
        </w:rPr>
      </w:pPr>
      <w:r>
        <w:rPr>
          <w:rFonts w:ascii="宋体" w:eastAsia="宋体" w:hAnsi="宋体" w:cs="宋体" w:hint="eastAsia"/>
          <w:b/>
          <w:bCs/>
          <w:i w:val="0"/>
          <w:sz w:val="32"/>
          <w:szCs w:val="32"/>
        </w:rPr>
        <w:t>地 理</w:t>
      </w:r>
    </w:p>
    <w:p w14:paraId="7852EFD0">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宋体" w:eastAsia="宋体" w:hAnsi="宋体" w:cs="宋体" w:hint="eastAsia"/>
          <w:b/>
          <w:bCs/>
          <w:i w:val="0"/>
          <w:sz w:val="24"/>
          <w:szCs w:val="24"/>
        </w:rPr>
        <w:t>注意事项：</w:t>
      </w:r>
    </w:p>
    <w:p w14:paraId="1877AD3F">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Times New Roman" w:eastAsia="宋体" w:hAnsi="Times New Roman" w:cs="Times New Roman" w:hint="eastAsia"/>
          <w:b/>
          <w:bCs/>
          <w:i w:val="0"/>
          <w:sz w:val="24"/>
          <w:szCs w:val="24"/>
          <w:lang w:val="en-US" w:eastAsia="zh-CN"/>
        </w:rPr>
        <w:t>①</w:t>
      </w:r>
      <w:r>
        <w:rPr>
          <w:rFonts w:ascii="宋体" w:eastAsia="宋体" w:hAnsi="宋体" w:cs="宋体" w:hint="eastAsia"/>
          <w:b/>
          <w:bCs/>
          <w:i w:val="0"/>
          <w:sz w:val="24"/>
          <w:szCs w:val="24"/>
          <w:lang w:val="en-US" w:eastAsia="zh-CN"/>
        </w:rPr>
        <w:t xml:space="preserve"> </w:t>
      </w:r>
      <w:r>
        <w:rPr>
          <w:rFonts w:ascii="宋体" w:eastAsia="宋体" w:hAnsi="宋体" w:cs="宋体" w:hint="eastAsia"/>
          <w:b/>
          <w:bCs/>
          <w:i w:val="0"/>
          <w:sz w:val="24"/>
          <w:szCs w:val="24"/>
        </w:rPr>
        <w:t>本试卷分选择题与非选择题两部分，总分</w:t>
      </w:r>
      <w:r>
        <w:rPr>
          <w:rFonts w:ascii="Times New Roman" w:eastAsia="宋体" w:hAnsi="Times New Roman" w:cs="Times New Roman" w:hint="default"/>
          <w:b/>
          <w:bCs/>
          <w:i w:val="0"/>
          <w:sz w:val="24"/>
          <w:szCs w:val="24"/>
        </w:rPr>
        <w:t>100</w:t>
      </w:r>
      <w:r>
        <w:rPr>
          <w:rFonts w:ascii="宋体" w:eastAsia="宋体" w:hAnsi="宋体" w:cs="宋体" w:hint="eastAsia"/>
          <w:b/>
          <w:bCs/>
          <w:i w:val="0"/>
          <w:sz w:val="24"/>
          <w:szCs w:val="24"/>
        </w:rPr>
        <w:t>分。其中选择题</w:t>
      </w:r>
      <w:r>
        <w:rPr>
          <w:rFonts w:ascii="Times New Roman" w:eastAsia="宋体" w:hAnsi="Times New Roman" w:cs="Times New Roman" w:hint="default"/>
          <w:b/>
          <w:bCs/>
          <w:i w:val="0"/>
          <w:sz w:val="24"/>
          <w:szCs w:val="24"/>
        </w:rPr>
        <w:t>24</w:t>
      </w:r>
      <w:r>
        <w:rPr>
          <w:rFonts w:ascii="宋体" w:eastAsia="宋体" w:hAnsi="宋体" w:cs="宋体" w:hint="eastAsia"/>
          <w:b/>
          <w:bCs/>
          <w:i w:val="0"/>
          <w:sz w:val="24"/>
          <w:szCs w:val="24"/>
        </w:rPr>
        <w:t>题，每小题</w:t>
      </w:r>
      <w:r>
        <w:rPr>
          <w:rFonts w:ascii="Times New Roman" w:eastAsia="宋体" w:hAnsi="Times New Roman" w:cs="Times New Roman" w:hint="default"/>
          <w:b/>
          <w:bCs/>
          <w:i w:val="0"/>
          <w:sz w:val="24"/>
          <w:szCs w:val="24"/>
        </w:rPr>
        <w:t>2</w:t>
      </w:r>
      <w:r>
        <w:rPr>
          <w:rFonts w:ascii="宋体" w:eastAsia="宋体" w:hAnsi="宋体" w:cs="宋体" w:hint="eastAsia"/>
          <w:b/>
          <w:bCs/>
          <w:i w:val="0"/>
          <w:sz w:val="24"/>
          <w:szCs w:val="24"/>
        </w:rPr>
        <w:t>分，共</w:t>
      </w:r>
      <w:r>
        <w:rPr>
          <w:rFonts w:ascii="Times New Roman" w:eastAsia="宋体" w:hAnsi="Times New Roman" w:cs="Times New Roman" w:hint="default"/>
          <w:b/>
          <w:bCs/>
          <w:i w:val="0"/>
          <w:sz w:val="24"/>
          <w:szCs w:val="24"/>
        </w:rPr>
        <w:t>48</w:t>
      </w:r>
      <w:r>
        <w:rPr>
          <w:rFonts w:ascii="宋体" w:eastAsia="宋体" w:hAnsi="宋体" w:cs="宋体" w:hint="eastAsia"/>
          <w:b/>
          <w:bCs/>
          <w:i w:val="0"/>
          <w:sz w:val="24"/>
          <w:szCs w:val="24"/>
        </w:rPr>
        <w:t>分；非选择题</w:t>
      </w:r>
      <w:r>
        <w:rPr>
          <w:rFonts w:ascii="Times New Roman" w:eastAsia="宋体" w:hAnsi="Times New Roman" w:cs="Times New Roman" w:hint="default"/>
          <w:b/>
          <w:bCs/>
          <w:i w:val="0"/>
          <w:sz w:val="24"/>
          <w:szCs w:val="24"/>
        </w:rPr>
        <w:t>4</w:t>
      </w:r>
      <w:r>
        <w:rPr>
          <w:rFonts w:ascii="宋体" w:eastAsia="宋体" w:hAnsi="宋体" w:cs="宋体" w:hint="eastAsia"/>
          <w:b/>
          <w:bCs/>
          <w:i w:val="0"/>
          <w:sz w:val="24"/>
          <w:szCs w:val="24"/>
        </w:rPr>
        <w:t>题，共</w:t>
      </w:r>
      <w:r>
        <w:rPr>
          <w:rFonts w:ascii="Times New Roman" w:eastAsia="宋体" w:hAnsi="Times New Roman" w:cs="Times New Roman" w:hint="default"/>
          <w:b/>
          <w:bCs/>
          <w:i w:val="0"/>
          <w:sz w:val="24"/>
          <w:szCs w:val="24"/>
        </w:rPr>
        <w:t>52</w:t>
      </w:r>
      <w:r>
        <w:rPr>
          <w:rFonts w:ascii="宋体" w:eastAsia="宋体" w:hAnsi="宋体" w:cs="宋体" w:hint="eastAsia"/>
          <w:b/>
          <w:bCs/>
          <w:i w:val="0"/>
          <w:sz w:val="24"/>
          <w:szCs w:val="24"/>
        </w:rPr>
        <w:t>分。</w:t>
      </w:r>
    </w:p>
    <w:p w14:paraId="6F39F84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Times New Roman" w:eastAsia="宋体" w:hAnsi="Times New Roman" w:cs="Times New Roman" w:hint="eastAsia"/>
          <w:b/>
          <w:bCs/>
          <w:i w:val="0"/>
          <w:sz w:val="24"/>
          <w:szCs w:val="24"/>
          <w:lang w:val="en-US" w:eastAsia="zh-CN"/>
        </w:rPr>
        <w:t>②</w:t>
      </w:r>
      <w:r>
        <w:rPr>
          <w:rFonts w:ascii="宋体" w:eastAsia="宋体" w:hAnsi="宋体" w:cs="宋体" w:hint="eastAsia"/>
          <w:b/>
          <w:bCs/>
          <w:i w:val="0"/>
          <w:sz w:val="24"/>
          <w:szCs w:val="24"/>
          <w:lang w:val="en-US" w:eastAsia="zh-CN"/>
        </w:rPr>
        <w:t xml:space="preserve"> </w:t>
      </w:r>
      <w:r>
        <w:rPr>
          <w:rFonts w:ascii="宋体" w:eastAsia="宋体" w:hAnsi="宋体" w:cs="宋体" w:hint="eastAsia"/>
          <w:b/>
          <w:bCs/>
          <w:i w:val="0"/>
          <w:sz w:val="24"/>
          <w:szCs w:val="24"/>
        </w:rPr>
        <w:t>考试时间为</w:t>
      </w:r>
      <w:r>
        <w:rPr>
          <w:rFonts w:ascii="Times New Roman" w:eastAsia="宋体" w:hAnsi="Times New Roman" w:cs="Times New Roman" w:hint="default"/>
          <w:b/>
          <w:bCs/>
          <w:i w:val="0"/>
          <w:sz w:val="24"/>
          <w:szCs w:val="24"/>
        </w:rPr>
        <w:t>90</w:t>
      </w:r>
      <w:r>
        <w:rPr>
          <w:rFonts w:ascii="宋体" w:eastAsia="宋体" w:hAnsi="宋体" w:cs="宋体" w:hint="eastAsia"/>
          <w:b/>
          <w:bCs/>
          <w:i w:val="0"/>
          <w:sz w:val="24"/>
          <w:szCs w:val="24"/>
        </w:rPr>
        <w:t>分钟。</w:t>
      </w:r>
    </w:p>
    <w:p w14:paraId="4B165666">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Times New Roman" w:eastAsia="宋体" w:hAnsi="Times New Roman" w:cs="Times New Roman" w:hint="eastAsia"/>
          <w:b/>
          <w:bCs/>
          <w:i w:val="0"/>
          <w:sz w:val="24"/>
          <w:szCs w:val="24"/>
          <w:lang w:val="en-US" w:eastAsia="zh-CN"/>
        </w:rPr>
        <w:t>③</w:t>
      </w:r>
      <w:r>
        <w:rPr>
          <w:rFonts w:ascii="宋体" w:eastAsia="宋体" w:hAnsi="宋体" w:cs="宋体" w:hint="eastAsia"/>
          <w:b/>
          <w:bCs/>
          <w:i w:val="0"/>
          <w:sz w:val="24"/>
          <w:szCs w:val="24"/>
          <w:lang w:val="en-US" w:eastAsia="zh-CN"/>
        </w:rPr>
        <w:t xml:space="preserve"> </w:t>
      </w:r>
      <w:r>
        <w:rPr>
          <w:rFonts w:ascii="宋体" w:eastAsia="宋体" w:hAnsi="宋体" w:cs="宋体" w:hint="eastAsia"/>
          <w:b/>
          <w:bCs/>
          <w:i w:val="0"/>
          <w:sz w:val="24"/>
          <w:szCs w:val="24"/>
        </w:rPr>
        <w:t>试题答案（含选择题、非选择题的答案）统一填写在答题卡指定的相应位置。</w:t>
      </w:r>
    </w:p>
    <w:p w14:paraId="15B0D4D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宋体" w:eastAsia="宋体" w:hAnsi="宋体" w:cs="宋体" w:hint="eastAsia"/>
          <w:b/>
          <w:bCs/>
          <w:i w:val="0"/>
          <w:sz w:val="24"/>
          <w:szCs w:val="24"/>
        </w:rPr>
        <w:t>一、选择题（本大题共</w:t>
      </w:r>
      <w:r>
        <w:rPr>
          <w:rFonts w:ascii="Times New Roman" w:eastAsia="宋体" w:hAnsi="Times New Roman" w:cs="Times New Roman" w:hint="default"/>
          <w:b/>
          <w:bCs/>
          <w:i w:val="0"/>
          <w:sz w:val="24"/>
          <w:szCs w:val="24"/>
        </w:rPr>
        <w:t>24</w:t>
      </w:r>
      <w:r>
        <w:rPr>
          <w:rFonts w:ascii="宋体" w:eastAsia="宋体" w:hAnsi="宋体" w:cs="宋体" w:hint="eastAsia"/>
          <w:b/>
          <w:bCs/>
          <w:i w:val="0"/>
          <w:sz w:val="24"/>
          <w:szCs w:val="24"/>
        </w:rPr>
        <w:t>小题，每小题</w:t>
      </w:r>
      <w:r>
        <w:rPr>
          <w:rFonts w:ascii="Times New Roman" w:eastAsia="宋体" w:hAnsi="Times New Roman" w:cs="Times New Roman" w:hint="default"/>
          <w:b/>
          <w:bCs/>
          <w:i w:val="0"/>
          <w:sz w:val="24"/>
          <w:szCs w:val="24"/>
        </w:rPr>
        <w:t>2</w:t>
      </w:r>
      <w:r>
        <w:rPr>
          <w:rFonts w:ascii="宋体" w:eastAsia="宋体" w:hAnsi="宋体" w:cs="宋体" w:hint="eastAsia"/>
          <w:b/>
          <w:bCs/>
          <w:i w:val="0"/>
          <w:sz w:val="24"/>
          <w:szCs w:val="24"/>
        </w:rPr>
        <w:t>分，共</w:t>
      </w:r>
      <w:r>
        <w:rPr>
          <w:rFonts w:ascii="Times New Roman" w:eastAsia="宋体" w:hAnsi="Times New Roman" w:cs="Times New Roman" w:hint="default"/>
          <w:b/>
          <w:bCs/>
          <w:i w:val="0"/>
          <w:sz w:val="24"/>
          <w:szCs w:val="24"/>
        </w:rPr>
        <w:t>48</w:t>
      </w:r>
      <w:r>
        <w:rPr>
          <w:rFonts w:ascii="宋体" w:eastAsia="宋体" w:hAnsi="宋体" w:cs="宋体" w:hint="eastAsia"/>
          <w:b/>
          <w:bCs/>
          <w:i w:val="0"/>
          <w:sz w:val="24"/>
          <w:szCs w:val="24"/>
        </w:rPr>
        <w:t>分。在每小题给出的四个选项中，只有一项是符合题目要求的，请把正确答案填涂在答题卡中。）</w:t>
      </w:r>
    </w:p>
    <w:p w14:paraId="38E17A42">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厄瓜多尔（图</w:t>
      </w:r>
      <w:r>
        <w:rPr>
          <w:rFonts w:ascii="Times New Roman" w:eastAsia="楷体" w:hAnsi="Times New Roman" w:cs="Times New Roman" w:hint="default"/>
          <w:b w:val="0"/>
          <w:i w:val="0"/>
          <w:sz w:val="21"/>
        </w:rPr>
        <w:t>1</w:t>
      </w:r>
      <w:r>
        <w:rPr>
          <w:rFonts w:ascii="楷体" w:eastAsia="楷体" w:hAnsi="楷体" w:cs="楷体" w:hint="eastAsia"/>
          <w:b w:val="0"/>
          <w:i w:val="0"/>
          <w:sz w:val="21"/>
        </w:rPr>
        <w:t>）沿海及附近低海拔地区出产的托奎拉草，常用来编织草帽。蒙特克里斯蒂最早开始规模化生产托奎拉草帽，并被当地居民普遍使用。昆卡因受政府重视后期发展成为托奎拉草帽产量最大的地区。托奎拉草帽主要依靠手工制作，工序复杂、耗时长，因此售价较高。近年来，受替代产品、消费习惯以及其他国家同类商品的影响，厄瓜多尔托奎拉草帽的出口压力增大。据此完成</w:t>
      </w:r>
      <w:r>
        <w:rPr>
          <w:rFonts w:ascii="Times New Roman" w:eastAsia="楷体" w:hAnsi="Times New Roman" w:cs="Times New Roman" w:hint="default"/>
          <w:b w:val="0"/>
          <w:i w:val="0"/>
          <w:sz w:val="21"/>
        </w:rPr>
        <w:t>1</w:t>
      </w:r>
      <w:r>
        <w:rPr>
          <w:rFonts w:ascii="楷体" w:eastAsia="楷体" w:hAnsi="楷体" w:cs="楷体" w:hint="eastAsia"/>
          <w:b w:val="0"/>
          <w:i w:val="0"/>
          <w:sz w:val="21"/>
        </w:rPr>
        <w:t>～</w:t>
      </w:r>
      <w:r>
        <w:rPr>
          <w:rFonts w:ascii="Times New Roman" w:eastAsia="楷体" w:hAnsi="Times New Roman" w:cs="Times New Roman" w:hint="default"/>
          <w:b w:val="0"/>
          <w:i w:val="0"/>
          <w:sz w:val="21"/>
        </w:rPr>
        <w:t>3</w:t>
      </w:r>
      <w:r>
        <w:rPr>
          <w:rFonts w:ascii="楷体" w:eastAsia="楷体" w:hAnsi="楷体" w:cs="楷体" w:hint="eastAsia"/>
          <w:b w:val="0"/>
          <w:i w:val="0"/>
          <w:sz w:val="21"/>
        </w:rPr>
        <w:t>题。</w:t>
      </w:r>
    </w:p>
    <w:p w14:paraId="1233581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楷体" w:eastAsia="楷体" w:hAnsi="楷体" w:cs="楷体" w:hint="eastAsia"/>
          <w:b w:val="0"/>
          <w:i w:val="0"/>
          <w:sz w:val="21"/>
        </w:rPr>
      </w:pPr>
      <w:r>
        <w:rPr>
          <w:rFonts w:ascii="宋体" w:eastAsia="宋体" w:hAnsi="宋体" w:cs="宋体" w:hint="eastAsia"/>
          <w:sz w:val="21"/>
          <w:szCs w:val="21"/>
        </w:rPr>
        <w:drawing>
          <wp:inline distT="0" distB="0" distL="114300" distR="114300">
            <wp:extent cx="2453005" cy="222440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2453005" cy="2224405"/>
                    </a:xfrm>
                    <a:prstGeom prst="rect">
                      <a:avLst/>
                    </a:prstGeom>
                    <a:noFill/>
                    <a:ln>
                      <a:noFill/>
                    </a:ln>
                  </pic:spPr>
                </pic:pic>
              </a:graphicData>
            </a:graphic>
          </wp:inline>
        </w:drawing>
      </w:r>
    </w:p>
    <w:p w14:paraId="568923A1">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w:t>
      </w:r>
      <w:r>
        <w:rPr>
          <w:rFonts w:ascii="宋体" w:eastAsia="宋体" w:hAnsi="宋体" w:cs="宋体" w:hint="eastAsia"/>
          <w:b w:val="0"/>
          <w:i w:val="0"/>
          <w:sz w:val="21"/>
          <w:lang w:eastAsia="zh-CN"/>
        </w:rPr>
        <w:t>．</w:t>
      </w:r>
      <w:r>
        <w:rPr>
          <w:rFonts w:ascii="宋体" w:eastAsia="宋体" w:hAnsi="宋体" w:cs="宋体" w:hint="eastAsia"/>
          <w:b w:val="0"/>
          <w:i w:val="0"/>
          <w:sz w:val="21"/>
        </w:rPr>
        <w:t>厄瓜多尔沿海低海拔地区适宜托奎拉草生长的主要气候条件是</w:t>
      </w:r>
    </w:p>
    <w:p w14:paraId="6566DAF8">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高温多雨</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温和湿润</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炎热干燥</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凉爽多雾</w:t>
      </w:r>
    </w:p>
    <w:p w14:paraId="40AB8FD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w:t>
      </w:r>
      <w:r>
        <w:rPr>
          <w:rFonts w:ascii="宋体" w:eastAsia="宋体" w:hAnsi="宋体" w:cs="宋体" w:hint="eastAsia"/>
          <w:b w:val="0"/>
          <w:i w:val="0"/>
          <w:sz w:val="21"/>
          <w:lang w:eastAsia="zh-CN"/>
        </w:rPr>
        <w:t>．</w:t>
      </w:r>
      <w:r>
        <w:rPr>
          <w:rFonts w:ascii="宋体" w:eastAsia="宋体" w:hAnsi="宋体" w:cs="宋体" w:hint="eastAsia"/>
          <w:b w:val="0"/>
          <w:i w:val="0"/>
          <w:sz w:val="21"/>
        </w:rPr>
        <w:t>与昆卡比，蒙特克里斯蒂最早开始规模化生产托奎拉草帽的优势是</w:t>
      </w:r>
    </w:p>
    <w:p w14:paraId="424086DA">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地处沿海便于出口</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靠近原料生产便利</w:t>
      </w:r>
    </w:p>
    <w:p w14:paraId="738450A5">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政府政策重点扶持</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劳动力丰富且廉价</w:t>
      </w:r>
    </w:p>
    <w:p w14:paraId="65CF1009">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3</w:t>
      </w:r>
      <w:r>
        <w:rPr>
          <w:rFonts w:ascii="宋体" w:eastAsia="宋体" w:hAnsi="宋体" w:cs="宋体" w:hint="eastAsia"/>
          <w:b w:val="0"/>
          <w:i w:val="0"/>
          <w:sz w:val="21"/>
          <w:lang w:eastAsia="zh-CN"/>
        </w:rPr>
        <w:t>．</w:t>
      </w:r>
      <w:r>
        <w:rPr>
          <w:rFonts w:ascii="宋体" w:eastAsia="宋体" w:hAnsi="宋体" w:cs="宋体" w:hint="eastAsia"/>
          <w:b w:val="0"/>
          <w:i w:val="0"/>
          <w:sz w:val="21"/>
        </w:rPr>
        <w:t>近年来厄瓜多尔托奎拉草帽出口压力增大，应对措施是</w:t>
      </w:r>
    </w:p>
    <w:p w14:paraId="6D8A5C40">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降低产品售价</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扩大生产规模</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丰富产品种类</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降低原料成本</w:t>
      </w:r>
    </w:p>
    <w:p w14:paraId="0F929460">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东北漫川漫岗区是我国重要的粮食产区，同时也是国家级水土流失重点治理区，近年来针对不同的侵蚀状况因地制宜治理水土流失。在大中型侵蚀沟，对传统石笼谷坊进行改良，推广柳编植物谷坊（图</w:t>
      </w:r>
      <w:r>
        <w:rPr>
          <w:rFonts w:ascii="Times New Roman" w:eastAsia="楷体" w:hAnsi="Times New Roman" w:cs="Times New Roman" w:hint="default"/>
          <w:b w:val="0"/>
          <w:i w:val="0"/>
          <w:sz w:val="21"/>
        </w:rPr>
        <w:t>2</w:t>
      </w:r>
      <w:r>
        <w:rPr>
          <w:rFonts w:ascii="楷体" w:eastAsia="楷体" w:hAnsi="楷体" w:cs="楷体" w:hint="eastAsia"/>
          <w:b w:val="0"/>
          <w:i w:val="0"/>
          <w:sz w:val="21"/>
        </w:rPr>
        <w:t>）；在小型侵蚀沟，推行秸秆填埋等综合治理措施，取得良好的成效。据此完成</w:t>
      </w:r>
      <w:r>
        <w:rPr>
          <w:rFonts w:ascii="Times New Roman" w:eastAsia="楷体" w:hAnsi="Times New Roman" w:cs="Times New Roman" w:hint="default"/>
          <w:b w:val="0"/>
          <w:i w:val="0"/>
          <w:sz w:val="21"/>
        </w:rPr>
        <w:t>4</w:t>
      </w:r>
      <w:r>
        <w:rPr>
          <w:rFonts w:ascii="楷体" w:eastAsia="楷体" w:hAnsi="楷体" w:cs="楷体" w:hint="eastAsia"/>
          <w:b w:val="0"/>
          <w:i w:val="0"/>
          <w:sz w:val="21"/>
        </w:rPr>
        <w:t>～</w:t>
      </w:r>
      <w:r>
        <w:rPr>
          <w:rFonts w:ascii="Times New Roman" w:eastAsia="楷体" w:hAnsi="Times New Roman" w:cs="Times New Roman" w:hint="default"/>
          <w:b w:val="0"/>
          <w:i w:val="0"/>
          <w:sz w:val="21"/>
        </w:rPr>
        <w:t>6</w:t>
      </w:r>
      <w:r>
        <w:rPr>
          <w:rFonts w:ascii="楷体" w:eastAsia="楷体" w:hAnsi="楷体" w:cs="楷体" w:hint="eastAsia"/>
          <w:b w:val="0"/>
          <w:i w:val="0"/>
          <w:sz w:val="21"/>
        </w:rPr>
        <w:t>题。</w:t>
      </w:r>
    </w:p>
    <w:bookmarkEnd w:id="0"/>
    <w:p w14:paraId="7308F60A">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bookmarkStart w:id="1" w:name="page_2"/>
      <w:r>
        <w:rPr>
          <w:rFonts w:ascii="宋体" w:eastAsia="宋体" w:hAnsi="宋体" w:cs="宋体" w:hint="eastAsia"/>
          <w:sz w:val="21"/>
          <w:szCs w:val="21"/>
        </w:rPr>
        <w:drawing>
          <wp:inline distT="0" distB="0" distL="114300" distR="114300">
            <wp:extent cx="5923915" cy="1715770"/>
            <wp:effectExtent l="0" t="0" r="63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a:stretch>
                      <a:fillRect/>
                    </a:stretch>
                  </pic:blipFill>
                  <pic:spPr>
                    <a:xfrm>
                      <a:off x="0" y="0"/>
                      <a:ext cx="5923915" cy="1715770"/>
                    </a:xfrm>
                    <a:prstGeom prst="rect">
                      <a:avLst/>
                    </a:prstGeom>
                    <a:noFill/>
                    <a:ln>
                      <a:noFill/>
                    </a:ln>
                  </pic:spPr>
                </pic:pic>
              </a:graphicData>
            </a:graphic>
          </wp:inline>
        </w:drawing>
      </w:r>
    </w:p>
    <w:p w14:paraId="71D9D940">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4</w:t>
      </w:r>
      <w:r>
        <w:rPr>
          <w:rFonts w:ascii="宋体" w:eastAsia="宋体" w:hAnsi="宋体" w:cs="宋体" w:hint="eastAsia"/>
          <w:b w:val="0"/>
          <w:i w:val="0"/>
          <w:sz w:val="21"/>
          <w:lang w:eastAsia="zh-CN"/>
        </w:rPr>
        <w:t>．</w:t>
      </w:r>
      <w:r>
        <w:rPr>
          <w:rFonts w:ascii="宋体" w:eastAsia="宋体" w:hAnsi="宋体" w:cs="宋体" w:hint="eastAsia"/>
          <w:b w:val="0"/>
          <w:i w:val="0"/>
          <w:sz w:val="21"/>
        </w:rPr>
        <w:t>侵蚀沟的形成对当地农业生产的直接影响是</w:t>
      </w:r>
    </w:p>
    <w:p w14:paraId="126DA6F0">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加剧洪水灾害</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土壤盐碱化</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耕地碎片化</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提高生产成本</w:t>
      </w:r>
    </w:p>
    <w:p w14:paraId="10F3C35B">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5</w:t>
      </w:r>
      <w:r>
        <w:rPr>
          <w:rFonts w:ascii="宋体" w:eastAsia="宋体" w:hAnsi="宋体" w:cs="宋体" w:hint="eastAsia"/>
          <w:b w:val="0"/>
          <w:i w:val="0"/>
          <w:sz w:val="21"/>
          <w:lang w:eastAsia="zh-CN"/>
        </w:rPr>
        <w:t>．</w:t>
      </w:r>
      <w:r>
        <w:rPr>
          <w:rFonts w:ascii="宋体" w:eastAsia="宋体" w:hAnsi="宋体" w:cs="宋体" w:hint="eastAsia"/>
          <w:b w:val="0"/>
          <w:i w:val="0"/>
          <w:sz w:val="21"/>
        </w:rPr>
        <w:t>传统石笼谷坊改良成柳编植物谷坊的主要目的是</w:t>
      </w:r>
    </w:p>
    <w:p w14:paraId="214E7DBD">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提高拦沙能力</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减少占地面积</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节省建筑材料</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提高生态稳定性</w:t>
      </w:r>
    </w:p>
    <w:p w14:paraId="0E1A0AA0">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6</w:t>
      </w:r>
      <w:r>
        <w:rPr>
          <w:rFonts w:ascii="宋体" w:eastAsia="宋体" w:hAnsi="宋体" w:cs="宋体" w:hint="eastAsia"/>
          <w:b w:val="0"/>
          <w:i w:val="0"/>
          <w:sz w:val="21"/>
          <w:lang w:eastAsia="zh-CN"/>
        </w:rPr>
        <w:t>．</w:t>
      </w:r>
      <w:r>
        <w:rPr>
          <w:rFonts w:ascii="宋体" w:eastAsia="宋体" w:hAnsi="宋体" w:cs="宋体" w:hint="eastAsia"/>
          <w:b w:val="0"/>
          <w:i w:val="0"/>
          <w:sz w:val="21"/>
        </w:rPr>
        <w:t>秸秆填埋对保障我国粮食安全的主要意义是</w:t>
      </w:r>
    </w:p>
    <w:p w14:paraId="33BA4E0D">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①提高复种指数</w:t>
      </w:r>
      <w:r>
        <w:rPr>
          <w:rFonts w:ascii="宋体" w:eastAsia="宋体" w:hAnsi="宋体" w:cs="宋体" w:hint="eastAsia"/>
          <w:b w:val="0"/>
          <w:i w:val="0"/>
          <w:sz w:val="21"/>
        </w:rPr>
        <w:tab/>
      </w:r>
      <w:r>
        <w:rPr>
          <w:rFonts w:ascii="宋体" w:eastAsia="宋体" w:hAnsi="宋体" w:cs="宋体" w:hint="eastAsia"/>
          <w:b w:val="0"/>
          <w:i w:val="0"/>
          <w:sz w:val="21"/>
        </w:rPr>
        <w:t>②提高作物单产</w:t>
      </w:r>
      <w:r>
        <w:rPr>
          <w:rFonts w:ascii="宋体" w:eastAsia="宋体" w:hAnsi="宋体" w:cs="宋体" w:hint="eastAsia"/>
          <w:b w:val="0"/>
          <w:i w:val="0"/>
          <w:sz w:val="21"/>
        </w:rPr>
        <w:tab/>
      </w:r>
      <w:r>
        <w:rPr>
          <w:rFonts w:ascii="宋体" w:eastAsia="宋体" w:hAnsi="宋体" w:cs="宋体" w:hint="eastAsia"/>
          <w:b w:val="0"/>
          <w:i w:val="0"/>
          <w:sz w:val="21"/>
        </w:rPr>
        <w:t>③降低生产成本</w:t>
      </w:r>
      <w:r>
        <w:rPr>
          <w:rFonts w:ascii="宋体" w:eastAsia="宋体" w:hAnsi="宋体" w:cs="宋体" w:hint="eastAsia"/>
          <w:b w:val="0"/>
          <w:i w:val="0"/>
          <w:sz w:val="21"/>
        </w:rPr>
        <w:tab/>
      </w:r>
      <w:r>
        <w:rPr>
          <w:rFonts w:ascii="宋体" w:eastAsia="宋体" w:hAnsi="宋体" w:cs="宋体" w:hint="eastAsia"/>
          <w:b w:val="0"/>
          <w:i w:val="0"/>
          <w:sz w:val="21"/>
        </w:rPr>
        <w:t>④提高耕地质量</w:t>
      </w:r>
    </w:p>
    <w:p w14:paraId="65F49D95">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①②</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①③</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②④</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③④</w:t>
      </w:r>
    </w:p>
    <w:p w14:paraId="59E92EBD">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安徽铜陵市因铜得名、依矿建市，新中国成立后形成完整的铜业产业体系，</w:t>
      </w:r>
      <w:r>
        <w:rPr>
          <w:rFonts w:ascii="Times New Roman" w:eastAsia="楷体" w:hAnsi="Times New Roman" w:cs="Times New Roman" w:hint="default"/>
          <w:b w:val="0"/>
          <w:i w:val="0"/>
          <w:sz w:val="21"/>
        </w:rPr>
        <w:t>2009</w:t>
      </w:r>
      <w:r>
        <w:rPr>
          <w:rFonts w:ascii="楷体" w:eastAsia="楷体" w:hAnsi="楷体" w:cs="楷体" w:hint="eastAsia"/>
          <w:b w:val="0"/>
          <w:i w:val="0"/>
          <w:sz w:val="21"/>
        </w:rPr>
        <w:t>年被列为全国资源枯竭型城市。近年来，铜陵市积极进行产业转型，形成铜基新材料基地产业链（图</w:t>
      </w:r>
      <w:r>
        <w:rPr>
          <w:rFonts w:ascii="Times New Roman" w:eastAsia="楷体" w:hAnsi="Times New Roman" w:cs="Times New Roman" w:hint="default"/>
          <w:b w:val="0"/>
          <w:i w:val="0"/>
          <w:sz w:val="21"/>
        </w:rPr>
        <w:t>3</w:t>
      </w:r>
      <w:r>
        <w:rPr>
          <w:rFonts w:ascii="楷体" w:eastAsia="楷体" w:hAnsi="楷体" w:cs="楷体" w:hint="eastAsia"/>
          <w:b w:val="0"/>
          <w:i w:val="0"/>
          <w:sz w:val="21"/>
        </w:rPr>
        <w:t>），让千年古铜都焕发新生。据此完成</w:t>
      </w:r>
      <w:r>
        <w:rPr>
          <w:rFonts w:ascii="Times New Roman" w:eastAsia="楷体" w:hAnsi="Times New Roman" w:cs="Times New Roman" w:hint="default"/>
          <w:b w:val="0"/>
          <w:i w:val="0"/>
          <w:sz w:val="21"/>
        </w:rPr>
        <w:t>7</w:t>
      </w:r>
      <w:r>
        <w:rPr>
          <w:rFonts w:ascii="楷体" w:eastAsia="楷体" w:hAnsi="楷体" w:cs="楷体" w:hint="eastAsia"/>
          <w:b w:val="0"/>
          <w:i w:val="0"/>
          <w:sz w:val="21"/>
        </w:rPr>
        <w:t>～</w:t>
      </w:r>
      <w:r>
        <w:rPr>
          <w:rFonts w:ascii="Times New Roman" w:eastAsia="楷体" w:hAnsi="Times New Roman" w:cs="Times New Roman" w:hint="default"/>
          <w:b w:val="0"/>
          <w:i w:val="0"/>
          <w:sz w:val="21"/>
        </w:rPr>
        <w:t>9</w:t>
      </w:r>
      <w:r>
        <w:rPr>
          <w:rFonts w:ascii="楷体" w:eastAsia="楷体" w:hAnsi="楷体" w:cs="楷体" w:hint="eastAsia"/>
          <w:b w:val="0"/>
          <w:i w:val="0"/>
          <w:sz w:val="21"/>
        </w:rPr>
        <w:t>题。</w:t>
      </w:r>
    </w:p>
    <w:p w14:paraId="0A73200B">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5543550" cy="1513840"/>
            <wp:effectExtent l="0" t="0" r="0" b="1016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5543550" cy="1514403"/>
                    </a:xfrm>
                    <a:prstGeom prst="rect">
                      <a:avLst/>
                    </a:prstGeom>
                  </pic:spPr>
                </pic:pic>
              </a:graphicData>
            </a:graphic>
          </wp:inline>
        </w:drawing>
      </w:r>
    </w:p>
    <w:p w14:paraId="04C370E6">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7</w:t>
      </w:r>
      <w:r>
        <w:rPr>
          <w:rFonts w:ascii="宋体" w:eastAsia="宋体" w:hAnsi="宋体" w:cs="宋体" w:hint="eastAsia"/>
          <w:b w:val="0"/>
          <w:i w:val="0"/>
          <w:sz w:val="21"/>
          <w:lang w:eastAsia="zh-CN"/>
        </w:rPr>
        <w:t>．</w:t>
      </w:r>
      <w:r>
        <w:rPr>
          <w:rFonts w:ascii="宋体" w:eastAsia="宋体" w:hAnsi="宋体" w:cs="宋体" w:hint="eastAsia"/>
          <w:b w:val="0"/>
          <w:i w:val="0"/>
          <w:sz w:val="21"/>
        </w:rPr>
        <w:t>铜陵产业能够实现转型的优势条件是</w:t>
      </w:r>
    </w:p>
    <w:p w14:paraId="1C8DD055">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资源禀赋好</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产业基础雄厚</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市场需求大</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劳动力成本低</w:t>
      </w:r>
    </w:p>
    <w:p w14:paraId="161A1285">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8</w:t>
      </w:r>
      <w:r>
        <w:rPr>
          <w:rFonts w:ascii="宋体" w:eastAsia="宋体" w:hAnsi="宋体" w:cs="宋体" w:hint="eastAsia"/>
          <w:b w:val="0"/>
          <w:i w:val="0"/>
          <w:sz w:val="21"/>
          <w:lang w:eastAsia="zh-CN"/>
        </w:rPr>
        <w:t>．</w:t>
      </w:r>
      <w:r>
        <w:rPr>
          <w:rFonts w:ascii="宋体" w:eastAsia="宋体" w:hAnsi="宋体" w:cs="宋体" w:hint="eastAsia"/>
          <w:b w:val="0"/>
          <w:i w:val="0"/>
          <w:sz w:val="21"/>
        </w:rPr>
        <w:t>铜陵延伸铜产业链的主要目的是</w:t>
      </w:r>
    </w:p>
    <w:p w14:paraId="420B4554">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扩大开采的规模</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降低能源消耗</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提升资源附加值</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促进产业转移</w:t>
      </w:r>
    </w:p>
    <w:p w14:paraId="61C1D11E">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9</w:t>
      </w:r>
      <w:r>
        <w:rPr>
          <w:rFonts w:ascii="宋体" w:eastAsia="宋体" w:hAnsi="宋体" w:cs="宋体" w:hint="eastAsia"/>
          <w:b w:val="0"/>
          <w:i w:val="0"/>
          <w:sz w:val="21"/>
          <w:lang w:eastAsia="zh-CN"/>
        </w:rPr>
        <w:t>．</w:t>
      </w:r>
      <w:r>
        <w:rPr>
          <w:rFonts w:ascii="宋体" w:eastAsia="宋体" w:hAnsi="宋体" w:cs="宋体" w:hint="eastAsia"/>
          <w:b w:val="0"/>
          <w:i w:val="0"/>
          <w:sz w:val="21"/>
        </w:rPr>
        <w:t>“尾矿利用”环节对铜陵市资源环境安全的直接影响有</w:t>
      </w:r>
    </w:p>
    <w:p w14:paraId="0429671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①提炼精铜矿，降低铜矿进口依赖</w:t>
      </w:r>
      <w:r>
        <w:rPr>
          <w:rFonts w:ascii="宋体" w:eastAsia="宋体" w:hAnsi="宋体" w:cs="宋体" w:hint="eastAsia"/>
          <w:b w:val="0"/>
          <w:i w:val="0"/>
          <w:sz w:val="21"/>
          <w:lang w:val="en-US" w:eastAsia="zh-CN"/>
        </w:rPr>
        <w:tab/>
      </w:r>
      <w:r>
        <w:rPr>
          <w:rFonts w:ascii="宋体" w:eastAsia="宋体" w:hAnsi="宋体" w:cs="宋体" w:hint="eastAsia"/>
          <w:b w:val="0"/>
          <w:i w:val="0"/>
          <w:sz w:val="21"/>
          <w:lang w:val="en-US" w:eastAsia="zh-CN"/>
        </w:rPr>
        <w:tab/>
      </w:r>
      <w:r>
        <w:rPr>
          <w:rFonts w:ascii="宋体" w:eastAsia="宋体" w:hAnsi="宋体" w:cs="宋体" w:hint="eastAsia"/>
          <w:b w:val="0"/>
          <w:i w:val="0"/>
          <w:sz w:val="21"/>
        </w:rPr>
        <w:t>②减少土地占用，保护土地资源</w:t>
      </w:r>
    </w:p>
    <w:p w14:paraId="0391AFA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③矿渣制水泥，减轻对水体的污染</w:t>
      </w:r>
      <w:r>
        <w:rPr>
          <w:rFonts w:ascii="宋体" w:eastAsia="宋体" w:hAnsi="宋体" w:cs="宋体" w:hint="eastAsia"/>
          <w:b w:val="0"/>
          <w:i w:val="0"/>
          <w:sz w:val="21"/>
          <w:lang w:val="en-US" w:eastAsia="zh-CN"/>
        </w:rPr>
        <w:tab/>
      </w:r>
      <w:r>
        <w:rPr>
          <w:rFonts w:ascii="宋体" w:eastAsia="宋体" w:hAnsi="宋体" w:cs="宋体" w:hint="eastAsia"/>
          <w:b w:val="0"/>
          <w:i w:val="0"/>
          <w:sz w:val="21"/>
          <w:lang w:val="en-US" w:eastAsia="zh-CN"/>
        </w:rPr>
        <w:tab/>
      </w:r>
      <w:r>
        <w:rPr>
          <w:rFonts w:ascii="宋体" w:eastAsia="宋体" w:hAnsi="宋体" w:cs="宋体" w:hint="eastAsia"/>
          <w:b w:val="0"/>
          <w:i w:val="0"/>
          <w:sz w:val="21"/>
        </w:rPr>
        <w:t>④回收提炼金银，减少资源浪费</w:t>
      </w:r>
    </w:p>
    <w:p w14:paraId="5807F621">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①③</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②③</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③④</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②④</w:t>
      </w:r>
    </w:p>
    <w:p w14:paraId="6F2360E8">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经济流反映了城市间相互联系的密切程度，体现出城市群内核心城市对周边城市的经济辐射力和周边城市对核心城市辐射力的接收状况，是城市群协同程度的重要量化指标之一。图</w:t>
      </w:r>
      <w:r>
        <w:rPr>
          <w:rFonts w:ascii="Times New Roman" w:eastAsia="楷体" w:hAnsi="Times New Roman" w:cs="Times New Roman" w:hint="default"/>
          <w:b w:val="0"/>
          <w:i w:val="0"/>
          <w:sz w:val="21"/>
        </w:rPr>
        <w:t>4</w:t>
      </w:r>
      <w:r>
        <w:rPr>
          <w:rFonts w:ascii="楷体" w:eastAsia="楷体" w:hAnsi="楷体" w:cs="楷体" w:hint="eastAsia"/>
          <w:b w:val="0"/>
          <w:i w:val="0"/>
          <w:sz w:val="21"/>
        </w:rPr>
        <w:t>示意武汉城市群的城市之间经济流强度（联系网络强度）。据此完成</w:t>
      </w:r>
      <w:r>
        <w:rPr>
          <w:rFonts w:ascii="Times New Roman" w:eastAsia="楷体" w:hAnsi="Times New Roman" w:cs="Times New Roman" w:hint="default"/>
          <w:b w:val="0"/>
          <w:i w:val="0"/>
          <w:sz w:val="21"/>
        </w:rPr>
        <w:t>10</w:t>
      </w:r>
      <w:r>
        <w:rPr>
          <w:rFonts w:ascii="楷体" w:eastAsia="楷体" w:hAnsi="楷体" w:cs="楷体" w:hint="eastAsia"/>
          <w:b w:val="0"/>
          <w:i w:val="0"/>
          <w:sz w:val="21"/>
        </w:rPr>
        <w:t>～</w:t>
      </w:r>
      <w:r>
        <w:rPr>
          <w:rFonts w:ascii="Times New Roman" w:eastAsia="楷体" w:hAnsi="Times New Roman" w:cs="Times New Roman" w:hint="default"/>
          <w:b w:val="0"/>
          <w:i w:val="0"/>
          <w:sz w:val="21"/>
        </w:rPr>
        <w:t>12</w:t>
      </w:r>
      <w:r>
        <w:rPr>
          <w:rFonts w:ascii="楷体" w:eastAsia="楷体" w:hAnsi="楷体" w:cs="楷体" w:hint="eastAsia"/>
          <w:b w:val="0"/>
          <w:i w:val="0"/>
          <w:sz w:val="21"/>
        </w:rPr>
        <w:t>题。</w:t>
      </w:r>
    </w:p>
    <w:p w14:paraId="043781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楷体" w:eastAsia="楷体" w:hAnsi="楷体" w:cs="楷体" w:hint="eastAsia"/>
          <w:b w:val="0"/>
          <w:i w:val="0"/>
          <w:sz w:val="21"/>
        </w:rPr>
      </w:pPr>
      <w:r>
        <w:rPr>
          <w:rFonts w:ascii="宋体" w:eastAsia="宋体" w:hAnsi="宋体" w:cs="宋体" w:hint="eastAsia"/>
          <w:b w:val="0"/>
          <w:i w:val="0"/>
          <w:sz w:val="21"/>
        </w:rPr>
        <w:drawing>
          <wp:inline distT="0" distB="0" distL="114300" distR="114300">
            <wp:extent cx="2924175" cy="2263775"/>
            <wp:effectExtent l="0" t="0" r="9525" b="317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8"/>
                    <a:stretch>
                      <a:fillRect/>
                    </a:stretch>
                  </pic:blipFill>
                  <pic:spPr>
                    <a:xfrm>
                      <a:off x="0" y="0"/>
                      <a:ext cx="2924175" cy="2264326"/>
                    </a:xfrm>
                    <a:prstGeom prst="rect">
                      <a:avLst/>
                    </a:prstGeom>
                  </pic:spPr>
                </pic:pic>
              </a:graphicData>
            </a:graphic>
          </wp:inline>
        </w:drawing>
      </w:r>
    </w:p>
    <w:p w14:paraId="3D24A31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10</w:t>
      </w:r>
      <w:r>
        <w:rPr>
          <w:rFonts w:ascii="宋体" w:eastAsia="宋体" w:hAnsi="宋体" w:cs="宋体" w:hint="eastAsia"/>
          <w:b w:val="0"/>
          <w:i w:val="0"/>
          <w:sz w:val="21"/>
          <w:lang w:eastAsia="zh-CN"/>
        </w:rPr>
        <w:t>．</w:t>
      </w:r>
      <w:r>
        <w:rPr>
          <w:rFonts w:ascii="宋体" w:eastAsia="宋体" w:hAnsi="宋体" w:cs="宋体" w:hint="eastAsia"/>
          <w:b w:val="0"/>
          <w:i w:val="0"/>
          <w:sz w:val="21"/>
        </w:rPr>
        <w:t>受武汉市辐射影响最强的城市组团是</w:t>
      </w:r>
    </w:p>
    <w:p w14:paraId="47F38266">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仙天潜</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孝应安</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鄂黄黄</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咸赤嘉</w:t>
      </w:r>
    </w:p>
    <w:p w14:paraId="306143D8">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11</w:t>
      </w:r>
      <w:r>
        <w:rPr>
          <w:rFonts w:ascii="宋体" w:eastAsia="宋体" w:hAnsi="宋体" w:cs="宋体" w:hint="eastAsia"/>
          <w:b w:val="0"/>
          <w:i w:val="0"/>
          <w:sz w:val="21"/>
          <w:lang w:eastAsia="zh-CN"/>
        </w:rPr>
        <w:t>．</w:t>
      </w:r>
      <w:r>
        <w:rPr>
          <w:rFonts w:ascii="宋体" w:eastAsia="宋体" w:hAnsi="宋体" w:cs="宋体" w:hint="eastAsia"/>
          <w:b w:val="0"/>
          <w:i w:val="0"/>
          <w:sz w:val="21"/>
        </w:rPr>
        <w:t>周边城市与武汉之间经济流强度存在显著差异的主要因素是</w:t>
      </w:r>
    </w:p>
    <w:p w14:paraId="4B877A3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①人口结构</w:t>
      </w:r>
      <w:r>
        <w:rPr>
          <w:rFonts w:ascii="宋体" w:eastAsia="宋体" w:hAnsi="宋体" w:cs="宋体" w:hint="eastAsia"/>
          <w:b w:val="0"/>
          <w:i w:val="0"/>
          <w:sz w:val="21"/>
          <w:lang w:val="en-US" w:eastAsia="zh-CN"/>
        </w:rPr>
        <w:tab/>
      </w:r>
      <w:r>
        <w:rPr>
          <w:rFonts w:ascii="宋体" w:eastAsia="宋体" w:hAnsi="宋体" w:cs="宋体" w:hint="eastAsia"/>
          <w:b w:val="0"/>
          <w:i w:val="0"/>
          <w:sz w:val="21"/>
          <w:lang w:val="en-US" w:eastAsia="zh-CN"/>
        </w:rPr>
        <w:tab/>
      </w:r>
      <w:r>
        <w:rPr>
          <w:rFonts w:ascii="宋体" w:eastAsia="宋体" w:hAnsi="宋体" w:cs="宋体" w:hint="eastAsia"/>
          <w:b w:val="0"/>
          <w:i w:val="0"/>
          <w:sz w:val="21"/>
        </w:rPr>
        <w:t>②交通条件</w:t>
      </w:r>
    </w:p>
    <w:p w14:paraId="43B12BC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③城市等级</w:t>
      </w:r>
      <w:r>
        <w:rPr>
          <w:rFonts w:ascii="宋体" w:eastAsia="宋体" w:hAnsi="宋体" w:cs="宋体" w:hint="eastAsia"/>
          <w:b w:val="0"/>
          <w:i w:val="0"/>
          <w:sz w:val="21"/>
          <w:lang w:val="en-US" w:eastAsia="zh-CN"/>
        </w:rPr>
        <w:tab/>
      </w:r>
      <w:r>
        <w:rPr>
          <w:rFonts w:ascii="宋体" w:eastAsia="宋体" w:hAnsi="宋体" w:cs="宋体" w:hint="eastAsia"/>
          <w:b w:val="0"/>
          <w:i w:val="0"/>
          <w:sz w:val="21"/>
          <w:lang w:val="en-US" w:eastAsia="zh-CN"/>
        </w:rPr>
        <w:tab/>
      </w:r>
      <w:r>
        <w:rPr>
          <w:rFonts w:ascii="宋体" w:eastAsia="宋体" w:hAnsi="宋体" w:cs="宋体" w:hint="eastAsia"/>
          <w:b w:val="0"/>
          <w:i w:val="0"/>
          <w:sz w:val="21"/>
        </w:rPr>
        <w:t>④环境质量</w:t>
      </w:r>
    </w:p>
    <w:p w14:paraId="6BECE259">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①②</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②③</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①④</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③④</w:t>
      </w:r>
    </w:p>
    <w:p w14:paraId="57612019">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12</w:t>
      </w:r>
      <w:r>
        <w:rPr>
          <w:rFonts w:ascii="宋体" w:eastAsia="宋体" w:hAnsi="宋体" w:cs="宋体" w:hint="eastAsia"/>
          <w:b w:val="0"/>
          <w:i w:val="0"/>
          <w:sz w:val="21"/>
          <w:lang w:eastAsia="zh-CN"/>
        </w:rPr>
        <w:t>．</w:t>
      </w:r>
      <w:r>
        <w:rPr>
          <w:rFonts w:ascii="宋体" w:eastAsia="宋体" w:hAnsi="宋体" w:cs="宋体" w:hint="eastAsia"/>
          <w:b w:val="0"/>
          <w:i w:val="0"/>
          <w:sz w:val="21"/>
        </w:rPr>
        <w:t>增强武汉城市群协同程度可采取的主要措施是</w:t>
      </w:r>
    </w:p>
    <w:p w14:paraId="6DE2DFCE">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加大政策和资金扶持</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加强交通设施建设</w:t>
      </w:r>
    </w:p>
    <w:p w14:paraId="1429F705">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加强产业分工与协作</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促进城际人口流动</w:t>
      </w:r>
      <w:bookmarkEnd w:id="1"/>
      <w:bookmarkStart w:id="2" w:name="page_3"/>
    </w:p>
    <w:p w14:paraId="0C7218B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Times New Roman" w:eastAsia="楷体" w:hAnsi="Times New Roman" w:cs="Times New Roman" w:hint="default"/>
          <w:b w:val="0"/>
          <w:i w:val="0"/>
          <w:sz w:val="21"/>
        </w:rPr>
        <w:t>H</w:t>
      </w:r>
      <w:r>
        <w:rPr>
          <w:rFonts w:ascii="楷体" w:eastAsia="楷体" w:hAnsi="楷体" w:cs="楷体" w:hint="eastAsia"/>
          <w:b w:val="0"/>
          <w:i w:val="0"/>
          <w:sz w:val="21"/>
        </w:rPr>
        <w:t>公司成立于世界鞋都晋江，起初是一家外贸型传统制鞋企业。经过二十几年的发展，该公司已经成功转型为鞋业自动化生产设备及配套技术服务的供应商。图</w:t>
      </w:r>
      <w:r>
        <w:rPr>
          <w:rFonts w:ascii="Times New Roman" w:eastAsia="楷体" w:hAnsi="Times New Roman" w:cs="Times New Roman" w:hint="default"/>
          <w:b w:val="0"/>
          <w:i w:val="0"/>
          <w:sz w:val="21"/>
        </w:rPr>
        <w:t>5</w:t>
      </w:r>
      <w:r>
        <w:rPr>
          <w:rFonts w:ascii="楷体" w:eastAsia="楷体" w:hAnsi="楷体" w:cs="楷体" w:hint="eastAsia"/>
          <w:b w:val="0"/>
          <w:i w:val="0"/>
          <w:sz w:val="21"/>
        </w:rPr>
        <w:t>示意</w:t>
      </w:r>
      <w:r>
        <w:rPr>
          <w:rFonts w:ascii="Times New Roman" w:eastAsia="楷体" w:hAnsi="Times New Roman" w:cs="Times New Roman" w:hint="default"/>
          <w:b w:val="0"/>
          <w:i w:val="0"/>
          <w:sz w:val="21"/>
        </w:rPr>
        <w:t>H</w:t>
      </w:r>
      <w:r>
        <w:rPr>
          <w:rFonts w:ascii="楷体" w:eastAsia="楷体" w:hAnsi="楷体" w:cs="楷体" w:hint="eastAsia"/>
          <w:b w:val="0"/>
          <w:i w:val="0"/>
          <w:sz w:val="21"/>
        </w:rPr>
        <w:t>公司发展历程。据此完成</w:t>
      </w:r>
      <w:r>
        <w:rPr>
          <w:rFonts w:ascii="Times New Roman" w:eastAsia="楷体" w:hAnsi="Times New Roman" w:cs="Times New Roman" w:hint="default"/>
          <w:b w:val="0"/>
          <w:i w:val="0"/>
          <w:sz w:val="21"/>
        </w:rPr>
        <w:t>13</w:t>
      </w:r>
      <w:r>
        <w:rPr>
          <w:rFonts w:ascii="楷体" w:eastAsia="楷体" w:hAnsi="楷体" w:cs="楷体" w:hint="eastAsia"/>
          <w:b w:val="0"/>
          <w:i w:val="0"/>
          <w:sz w:val="21"/>
        </w:rPr>
        <w:t>～</w:t>
      </w:r>
      <w:r>
        <w:rPr>
          <w:rFonts w:ascii="Times New Roman" w:eastAsia="楷体" w:hAnsi="Times New Roman" w:cs="Times New Roman" w:hint="default"/>
          <w:b w:val="0"/>
          <w:i w:val="0"/>
          <w:sz w:val="21"/>
        </w:rPr>
        <w:t>15</w:t>
      </w:r>
      <w:r>
        <w:rPr>
          <w:rFonts w:ascii="楷体" w:eastAsia="楷体" w:hAnsi="楷体" w:cs="楷体" w:hint="eastAsia"/>
          <w:b w:val="0"/>
          <w:i w:val="0"/>
          <w:sz w:val="21"/>
        </w:rPr>
        <w:t>题。</w:t>
      </w:r>
    </w:p>
    <w:p w14:paraId="7F976915">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5057775" cy="1190625"/>
            <wp:effectExtent l="0" t="0" r="9525" b="952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9"/>
                    <a:stretch>
                      <a:fillRect/>
                    </a:stretch>
                  </pic:blipFill>
                  <pic:spPr>
                    <a:xfrm>
                      <a:off x="0" y="0"/>
                      <a:ext cx="5057775" cy="1190677"/>
                    </a:xfrm>
                    <a:prstGeom prst="rect">
                      <a:avLst/>
                    </a:prstGeom>
                  </pic:spPr>
                </pic:pic>
              </a:graphicData>
            </a:graphic>
          </wp:inline>
        </w:drawing>
      </w:r>
    </w:p>
    <w:p w14:paraId="40CF3C8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13</w:t>
      </w:r>
      <w:r>
        <w:rPr>
          <w:rFonts w:ascii="宋体" w:eastAsia="宋体" w:hAnsi="宋体" w:cs="宋体" w:hint="eastAsia"/>
          <w:b w:val="0"/>
          <w:i w:val="0"/>
          <w:sz w:val="21"/>
        </w:rPr>
        <w:t>．</w:t>
      </w:r>
      <w:r>
        <w:rPr>
          <w:rFonts w:ascii="Times New Roman" w:eastAsia="宋体" w:hAnsi="Times New Roman" w:cs="Times New Roman" w:hint="default"/>
          <w:b w:val="0"/>
          <w:i w:val="0"/>
          <w:sz w:val="21"/>
        </w:rPr>
        <w:t>2005</w:t>
      </w:r>
      <w:r>
        <w:rPr>
          <w:rFonts w:ascii="宋体" w:eastAsia="宋体" w:hAnsi="宋体" w:cs="宋体" w:hint="eastAsia"/>
          <w:b w:val="0"/>
          <w:i w:val="0"/>
          <w:sz w:val="21"/>
        </w:rPr>
        <w:t>年，</w:t>
      </w:r>
      <w:r>
        <w:rPr>
          <w:rFonts w:ascii="Times New Roman" w:eastAsia="宋体" w:hAnsi="Times New Roman" w:cs="Times New Roman" w:hint="default"/>
          <w:b w:val="0"/>
          <w:i w:val="0"/>
          <w:sz w:val="21"/>
        </w:rPr>
        <w:t>H</w:t>
      </w:r>
      <w:r>
        <w:rPr>
          <w:rFonts w:ascii="宋体" w:eastAsia="宋体" w:hAnsi="宋体" w:cs="宋体" w:hint="eastAsia"/>
          <w:b w:val="0"/>
          <w:i w:val="0"/>
          <w:sz w:val="21"/>
        </w:rPr>
        <w:t>公司在越南开设分厂的主要目的是</w:t>
      </w:r>
    </w:p>
    <w:p w14:paraId="58AE77CE">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．加强国际合作</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接近国际市场</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保障产品质量</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降低生产成本</w:t>
      </w:r>
    </w:p>
    <w:p w14:paraId="6D891BF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14</w:t>
      </w:r>
      <w:r>
        <w:rPr>
          <w:rFonts w:ascii="宋体" w:eastAsia="宋体" w:hAnsi="宋体" w:cs="宋体" w:hint="eastAsia"/>
          <w:b w:val="0"/>
          <w:i w:val="0"/>
          <w:sz w:val="21"/>
        </w:rPr>
        <w:t>．</w:t>
      </w:r>
      <w:r>
        <w:rPr>
          <w:rFonts w:ascii="Times New Roman" w:eastAsia="宋体" w:hAnsi="Times New Roman" w:cs="Times New Roman" w:hint="default"/>
          <w:b w:val="0"/>
          <w:i w:val="0"/>
          <w:sz w:val="21"/>
        </w:rPr>
        <w:t>2012</w:t>
      </w:r>
      <w:r>
        <w:rPr>
          <w:rFonts w:ascii="宋体" w:eastAsia="宋体" w:hAnsi="宋体" w:cs="宋体" w:hint="eastAsia"/>
          <w:b w:val="0"/>
          <w:i w:val="0"/>
          <w:sz w:val="21"/>
        </w:rPr>
        <w:t>年，</w:t>
      </w:r>
      <w:r>
        <w:rPr>
          <w:rFonts w:ascii="Times New Roman" w:eastAsia="宋体" w:hAnsi="Times New Roman" w:cs="Times New Roman" w:hint="default"/>
          <w:b w:val="0"/>
          <w:i w:val="0"/>
          <w:sz w:val="21"/>
        </w:rPr>
        <w:t>H</w:t>
      </w:r>
      <w:r>
        <w:rPr>
          <w:rFonts w:ascii="宋体" w:eastAsia="宋体" w:hAnsi="宋体" w:cs="宋体" w:hint="eastAsia"/>
          <w:b w:val="0"/>
          <w:i w:val="0"/>
          <w:sz w:val="21"/>
        </w:rPr>
        <w:t>公司越南分厂重新迁回晋江，主要是因为晋江</w:t>
      </w:r>
    </w:p>
    <w:p w14:paraId="62B34F88">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．产业链更完善</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．劳动力价格低</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．交通运输便利</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．政策支持力度大</w:t>
      </w:r>
    </w:p>
    <w:p w14:paraId="4EB3AABC">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15</w:t>
      </w:r>
      <w:r>
        <w:rPr>
          <w:rFonts w:ascii="宋体" w:eastAsia="宋体" w:hAnsi="宋体" w:cs="宋体" w:hint="eastAsia"/>
          <w:b w:val="0"/>
          <w:i w:val="0"/>
          <w:sz w:val="21"/>
        </w:rPr>
        <w:t>．当前，</w:t>
      </w:r>
      <w:r>
        <w:rPr>
          <w:rFonts w:ascii="Times New Roman" w:eastAsia="宋体" w:hAnsi="Times New Roman" w:cs="Times New Roman" w:hint="default"/>
          <w:b w:val="0"/>
          <w:i w:val="0"/>
          <w:sz w:val="21"/>
        </w:rPr>
        <w:t>H</w:t>
      </w:r>
      <w:r>
        <w:rPr>
          <w:rFonts w:ascii="宋体" w:eastAsia="宋体" w:hAnsi="宋体" w:cs="宋体" w:hint="eastAsia"/>
          <w:b w:val="0"/>
          <w:i w:val="0"/>
          <w:sz w:val="21"/>
        </w:rPr>
        <w:t>公司为制鞋企业主要提供</w:t>
      </w:r>
    </w:p>
    <w:p w14:paraId="450AF223">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．鞋样加工</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．鞋款设计</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．高端鞋辅料</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．制鞋机器人</w:t>
      </w:r>
    </w:p>
    <w:p w14:paraId="4D72EE97">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雅鲁藏布江是流经中国、印度、孟加拉国的一条国际性河流。</w:t>
      </w:r>
      <w:r>
        <w:rPr>
          <w:rFonts w:ascii="Times New Roman" w:eastAsia="楷体" w:hAnsi="Times New Roman" w:cs="Times New Roman" w:hint="default"/>
          <w:b w:val="0"/>
          <w:i w:val="0"/>
          <w:sz w:val="21"/>
        </w:rPr>
        <w:t>2025</w:t>
      </w:r>
      <w:r>
        <w:rPr>
          <w:rFonts w:ascii="楷体" w:eastAsia="楷体" w:hAnsi="楷体" w:cs="楷体" w:hint="eastAsia"/>
          <w:b w:val="0"/>
          <w:i w:val="0"/>
          <w:sz w:val="21"/>
        </w:rPr>
        <w:t>年</w:t>
      </w:r>
      <w:r>
        <w:rPr>
          <w:rFonts w:ascii="Times New Roman" w:eastAsia="楷体" w:hAnsi="Times New Roman" w:cs="Times New Roman" w:hint="default"/>
          <w:b w:val="0"/>
          <w:i w:val="0"/>
          <w:sz w:val="21"/>
        </w:rPr>
        <w:t>7</w:t>
      </w:r>
      <w:r>
        <w:rPr>
          <w:rFonts w:ascii="楷体" w:eastAsia="楷体" w:hAnsi="楷体" w:cs="楷体" w:hint="eastAsia"/>
          <w:b w:val="0"/>
          <w:i w:val="0"/>
          <w:sz w:val="21"/>
        </w:rPr>
        <w:t>月，雅鲁藏布江下游水电工程正式开工。该工程核心区域位于著名的“大拐弯”峡谷段，创新采用“截弯取直、隧洞引水”的开发模式（图</w:t>
      </w:r>
      <w:r>
        <w:rPr>
          <w:rFonts w:ascii="Times New Roman" w:eastAsia="楷体" w:hAnsi="Times New Roman" w:cs="Times New Roman" w:hint="default"/>
          <w:b w:val="0"/>
          <w:i w:val="0"/>
          <w:sz w:val="21"/>
        </w:rPr>
        <w:t>6</w:t>
      </w:r>
      <w:r>
        <w:rPr>
          <w:rFonts w:ascii="楷体" w:eastAsia="楷体" w:hAnsi="楷体" w:cs="楷体" w:hint="eastAsia"/>
          <w:b w:val="0"/>
          <w:i w:val="0"/>
          <w:sz w:val="21"/>
        </w:rPr>
        <w:t>），并规划了</w:t>
      </w:r>
      <w:r>
        <w:rPr>
          <w:rFonts w:ascii="Times New Roman" w:eastAsia="楷体" w:hAnsi="Times New Roman" w:cs="Times New Roman" w:hint="default"/>
          <w:b w:val="0"/>
          <w:i w:val="0"/>
          <w:sz w:val="21"/>
        </w:rPr>
        <w:t>5</w:t>
      </w:r>
      <w:r>
        <w:rPr>
          <w:rFonts w:ascii="楷体" w:eastAsia="楷体" w:hAnsi="楷体" w:cs="楷体" w:hint="eastAsia"/>
          <w:b w:val="0"/>
          <w:i w:val="0"/>
          <w:sz w:val="21"/>
        </w:rPr>
        <w:t>座地下梯级电站。据此完成</w:t>
      </w:r>
      <w:r>
        <w:rPr>
          <w:rFonts w:ascii="Times New Roman" w:eastAsia="楷体" w:hAnsi="Times New Roman" w:cs="Times New Roman" w:hint="default"/>
          <w:b w:val="0"/>
          <w:i w:val="0"/>
          <w:sz w:val="21"/>
        </w:rPr>
        <w:t>16</w:t>
      </w:r>
      <w:r>
        <w:rPr>
          <w:rFonts w:ascii="楷体" w:eastAsia="楷体" w:hAnsi="楷体" w:cs="楷体" w:hint="eastAsia"/>
          <w:b w:val="0"/>
          <w:i w:val="0"/>
          <w:sz w:val="21"/>
        </w:rPr>
        <w:t>～</w:t>
      </w:r>
      <w:r>
        <w:rPr>
          <w:rFonts w:ascii="Times New Roman" w:eastAsia="楷体" w:hAnsi="Times New Roman" w:cs="Times New Roman" w:hint="default"/>
          <w:b w:val="0"/>
          <w:i w:val="0"/>
          <w:sz w:val="21"/>
        </w:rPr>
        <w:t>18</w:t>
      </w:r>
      <w:r>
        <w:rPr>
          <w:rFonts w:ascii="楷体" w:eastAsia="楷体" w:hAnsi="楷体" w:cs="楷体" w:hint="eastAsia"/>
          <w:b w:val="0"/>
          <w:i w:val="0"/>
          <w:sz w:val="21"/>
        </w:rPr>
        <w:t>题。</w:t>
      </w:r>
    </w:p>
    <w:p w14:paraId="3ABCCB49">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4733925" cy="2335530"/>
            <wp:effectExtent l="0" t="0" r="9525" b="762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0"/>
                    <a:stretch>
                      <a:fillRect/>
                    </a:stretch>
                  </pic:blipFill>
                  <pic:spPr>
                    <a:xfrm>
                      <a:off x="0" y="0"/>
                      <a:ext cx="4733925" cy="2335681"/>
                    </a:xfrm>
                    <a:prstGeom prst="rect">
                      <a:avLst/>
                    </a:prstGeom>
                  </pic:spPr>
                </pic:pic>
              </a:graphicData>
            </a:graphic>
          </wp:inline>
        </w:drawing>
      </w:r>
    </w:p>
    <w:p w14:paraId="2350E18C">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16</w:t>
      </w:r>
      <w:r>
        <w:rPr>
          <w:rFonts w:ascii="宋体" w:eastAsia="宋体" w:hAnsi="宋体" w:cs="宋体" w:hint="eastAsia"/>
          <w:b w:val="0"/>
          <w:i w:val="0"/>
          <w:sz w:val="21"/>
        </w:rPr>
        <w:t>．与传统的截江筑坝相比，“截弯取直、隧洞引水”模式的突出优势</w:t>
      </w:r>
    </w:p>
    <w:p w14:paraId="4CB80F7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．减少库区淹没面积，减少移民搬迁</w:t>
      </w:r>
    </w:p>
    <w:p w14:paraId="00CC1F7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B</w:t>
      </w:r>
      <w:r>
        <w:rPr>
          <w:rFonts w:ascii="宋体" w:eastAsia="宋体" w:hAnsi="宋体" w:cs="宋体" w:hint="eastAsia"/>
          <w:b w:val="0"/>
          <w:i w:val="0"/>
          <w:sz w:val="21"/>
        </w:rPr>
        <w:t>．增加河流径流量，提高水电发电效率</w:t>
      </w:r>
    </w:p>
    <w:p w14:paraId="41F69FAF">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rPr>
        <w:t>．降低工程技术要求，缩短建设周期</w:t>
      </w:r>
    </w:p>
    <w:p w14:paraId="47202D0D">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D</w:t>
      </w:r>
      <w:r>
        <w:rPr>
          <w:rFonts w:ascii="宋体" w:eastAsia="宋体" w:hAnsi="宋体" w:cs="宋体" w:hint="eastAsia"/>
          <w:b w:val="0"/>
          <w:i w:val="0"/>
          <w:sz w:val="21"/>
        </w:rPr>
        <w:t>．完全避开断裂带，消除地质灾害风险</w:t>
      </w:r>
    </w:p>
    <w:p w14:paraId="1AF1910E">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17</w:t>
      </w:r>
      <w:r>
        <w:rPr>
          <w:rFonts w:ascii="宋体" w:eastAsia="宋体" w:hAnsi="宋体" w:cs="宋体" w:hint="eastAsia"/>
          <w:b w:val="0"/>
          <w:i w:val="0"/>
          <w:sz w:val="21"/>
        </w:rPr>
        <w:t>．该工程将</w:t>
      </w:r>
      <w:r>
        <w:rPr>
          <w:rFonts w:ascii="Times New Roman" w:eastAsia="宋体" w:hAnsi="Times New Roman" w:cs="Times New Roman" w:hint="default"/>
          <w:b w:val="0"/>
          <w:i w:val="0"/>
          <w:sz w:val="21"/>
        </w:rPr>
        <w:t>5</w:t>
      </w:r>
      <w:r>
        <w:rPr>
          <w:rFonts w:ascii="宋体" w:eastAsia="宋体" w:hAnsi="宋体" w:cs="宋体" w:hint="eastAsia"/>
          <w:b w:val="0"/>
          <w:i w:val="0"/>
          <w:sz w:val="21"/>
        </w:rPr>
        <w:t>座梯级电站厂房全部建于山体内部，主要目的是</w:t>
      </w:r>
    </w:p>
    <w:p w14:paraId="281DC4AD">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．避免冬季严寒冰冻</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．保护高山生态系统</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．降低地震坍塌风险</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．缓解地表空间限制</w:t>
      </w:r>
    </w:p>
    <w:p w14:paraId="34EB7CAD">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18</w:t>
      </w:r>
      <w:r>
        <w:rPr>
          <w:rFonts w:ascii="宋体" w:eastAsia="宋体" w:hAnsi="宋体" w:cs="宋体" w:hint="eastAsia"/>
          <w:b w:val="0"/>
          <w:i w:val="0"/>
          <w:sz w:val="21"/>
        </w:rPr>
        <w:t>．该工程实施“上游取水、下游释放”闭环设计，保障出境总水量变化小于</w:t>
      </w:r>
      <w:r>
        <w:rPr>
          <w:rFonts w:ascii="Times New Roman" w:eastAsia="宋体" w:hAnsi="Times New Roman" w:cs="Times New Roman" w:hint="default"/>
          <w:b w:val="0"/>
          <w:i w:val="0"/>
          <w:sz w:val="21"/>
        </w:rPr>
        <w:t>3%</w:t>
      </w:r>
      <w:r>
        <w:rPr>
          <w:rFonts w:ascii="宋体" w:eastAsia="宋体" w:hAnsi="宋体" w:cs="宋体" w:hint="eastAsia"/>
          <w:b w:val="0"/>
          <w:i w:val="0"/>
          <w:sz w:val="21"/>
        </w:rPr>
        <w:t>（低于国际</w:t>
      </w:r>
      <w:r>
        <w:rPr>
          <w:rFonts w:ascii="Times New Roman" w:eastAsia="宋体" w:hAnsi="Times New Roman" w:cs="Times New Roman" w:hint="default"/>
          <w:b w:val="0"/>
          <w:i w:val="0"/>
          <w:sz w:val="21"/>
        </w:rPr>
        <w:t>10%</w:t>
      </w:r>
      <w:r>
        <w:rPr>
          <w:rFonts w:ascii="宋体" w:eastAsia="宋体" w:hAnsi="宋体" w:cs="宋体" w:hint="eastAsia"/>
          <w:b w:val="0"/>
          <w:i w:val="0"/>
          <w:sz w:val="21"/>
        </w:rPr>
        <w:t>安全阈值）是为了</w:t>
      </w:r>
    </w:p>
    <w:p w14:paraId="13900B43">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．保留生态通道，保护珍稀物种</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．人口城市密集，降低洪水风险</w:t>
      </w:r>
    </w:p>
    <w:p w14:paraId="711343BA">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rPr>
        <w:t>．河流含沙量大，减轻水库淤积</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．避免国际争端，体现大国担当</w:t>
      </w:r>
    </w:p>
    <w:p w14:paraId="03BBA826">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山东省东营市海洋生态修复项目通过修复盐地碱蓬、海草床，构建活体牡蛎礁、贝藻礁等，显著增强了固碳增汇效果。同时，该修复项目产生的碳汇在宁波、广州等地成功实现跨省交易，收益专项用于生态环境损害赔偿的替代性修复，打造“生态保护</w:t>
      </w:r>
      <w:r>
        <w:rPr>
          <w:rFonts w:ascii="Times New Roman" w:eastAsia="楷体" w:hAnsi="Times New Roman" w:cs="Times New Roman" w:hint="default"/>
          <w:b w:val="0"/>
          <w:i w:val="0"/>
          <w:sz w:val="21"/>
        </w:rPr>
        <w:t>—</w:t>
      </w:r>
      <w:r>
        <w:rPr>
          <w:rFonts w:ascii="楷体" w:eastAsia="楷体" w:hAnsi="楷体" w:cs="楷体" w:hint="eastAsia"/>
          <w:b w:val="0"/>
          <w:i w:val="0"/>
          <w:sz w:val="21"/>
        </w:rPr>
        <w:t>碳汇增收</w:t>
      </w:r>
      <w:r>
        <w:rPr>
          <w:rFonts w:ascii="Times New Roman" w:eastAsia="楷体" w:hAnsi="Times New Roman" w:cs="Times New Roman" w:hint="default"/>
          <w:b w:val="0"/>
          <w:i w:val="0"/>
          <w:sz w:val="21"/>
        </w:rPr>
        <w:t>—</w:t>
      </w:r>
      <w:r>
        <w:rPr>
          <w:rFonts w:ascii="楷体" w:eastAsia="楷体" w:hAnsi="楷体" w:cs="楷体" w:hint="eastAsia"/>
          <w:b w:val="0"/>
          <w:i w:val="0"/>
          <w:sz w:val="21"/>
        </w:rPr>
        <w:t>交易变现</w:t>
      </w:r>
      <w:r>
        <w:rPr>
          <w:rFonts w:ascii="Times New Roman" w:eastAsia="楷体" w:hAnsi="Times New Roman" w:cs="Times New Roman" w:hint="default"/>
          <w:b w:val="0"/>
          <w:i w:val="0"/>
          <w:sz w:val="21"/>
        </w:rPr>
        <w:t>—</w:t>
      </w:r>
      <w:r>
        <w:rPr>
          <w:rFonts w:ascii="楷体" w:eastAsia="楷体" w:hAnsi="楷体" w:cs="楷体" w:hint="eastAsia"/>
          <w:b w:val="0"/>
          <w:i w:val="0"/>
          <w:sz w:val="21"/>
        </w:rPr>
        <w:t>再保护”的良性循环。图</w:t>
      </w:r>
      <w:r>
        <w:rPr>
          <w:rFonts w:ascii="Times New Roman" w:eastAsia="楷体" w:hAnsi="Times New Roman" w:cs="Times New Roman" w:hint="default"/>
          <w:b w:val="0"/>
          <w:i w:val="0"/>
          <w:sz w:val="21"/>
        </w:rPr>
        <w:t>7</w:t>
      </w:r>
      <w:r>
        <w:rPr>
          <w:rFonts w:ascii="楷体" w:eastAsia="楷体" w:hAnsi="楷体" w:cs="楷体" w:hint="eastAsia"/>
          <w:b w:val="0"/>
          <w:i w:val="0"/>
          <w:sz w:val="21"/>
        </w:rPr>
        <w:t>示意竣工后的生态保护修复项目景观。据此完成</w:t>
      </w:r>
      <w:r>
        <w:rPr>
          <w:rFonts w:ascii="Times New Roman" w:eastAsia="楷体" w:hAnsi="Times New Roman" w:cs="Times New Roman" w:hint="default"/>
          <w:b w:val="0"/>
          <w:i w:val="0"/>
          <w:sz w:val="21"/>
        </w:rPr>
        <w:t>19</w:t>
      </w:r>
      <w:r>
        <w:rPr>
          <w:rFonts w:ascii="楷体" w:eastAsia="楷体" w:hAnsi="楷体" w:cs="楷体" w:hint="eastAsia"/>
          <w:b w:val="0"/>
          <w:i w:val="0"/>
          <w:sz w:val="21"/>
        </w:rPr>
        <w:t>～</w:t>
      </w:r>
      <w:r>
        <w:rPr>
          <w:rFonts w:ascii="Times New Roman" w:eastAsia="楷体" w:hAnsi="Times New Roman" w:cs="Times New Roman" w:hint="default"/>
          <w:b w:val="0"/>
          <w:i w:val="0"/>
          <w:sz w:val="21"/>
        </w:rPr>
        <w:t>21</w:t>
      </w:r>
      <w:r>
        <w:rPr>
          <w:rFonts w:ascii="楷体" w:eastAsia="楷体" w:hAnsi="楷体" w:cs="楷体" w:hint="eastAsia"/>
          <w:b w:val="0"/>
          <w:i w:val="0"/>
          <w:sz w:val="21"/>
        </w:rPr>
        <w:t>题。</w:t>
      </w:r>
    </w:p>
    <w:p w14:paraId="24DE32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ascii="楷体" w:eastAsia="楷体" w:hAnsi="楷体" w:cs="楷体" w:hint="eastAsia"/>
          <w:b w:val="0"/>
          <w:i w:val="0"/>
          <w:sz w:val="21"/>
        </w:rPr>
      </w:pPr>
      <w:r>
        <w:rPr>
          <w:rFonts w:ascii="宋体" w:eastAsia="宋体" w:hAnsi="宋体" w:cs="宋体" w:hint="eastAsia"/>
          <w:b w:val="0"/>
          <w:i w:val="0"/>
          <w:sz w:val="21"/>
        </w:rPr>
        <w:drawing>
          <wp:inline distT="0" distB="0" distL="114300" distR="114300">
            <wp:extent cx="2828925" cy="1970405"/>
            <wp:effectExtent l="0" t="0" r="9525" b="1079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1"/>
                    <a:stretch>
                      <a:fillRect/>
                    </a:stretch>
                  </pic:blipFill>
                  <pic:spPr>
                    <a:xfrm>
                      <a:off x="0" y="0"/>
                      <a:ext cx="2828925" cy="1970517"/>
                    </a:xfrm>
                    <a:prstGeom prst="rect">
                      <a:avLst/>
                    </a:prstGeom>
                  </pic:spPr>
                </pic:pic>
              </a:graphicData>
            </a:graphic>
          </wp:inline>
        </w:drawing>
      </w:r>
    </w:p>
    <w:bookmarkEnd w:id="2"/>
    <w:p w14:paraId="5814FEE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bookmarkStart w:id="3" w:name="page_4"/>
      <w:r>
        <w:rPr>
          <w:rFonts w:ascii="Times New Roman" w:eastAsia="宋体" w:hAnsi="Times New Roman" w:cs="Times New Roman" w:hint="default"/>
          <w:b w:val="0"/>
          <w:i w:val="0"/>
          <w:sz w:val="21"/>
        </w:rPr>
        <w:t>19</w:t>
      </w:r>
      <w:r>
        <w:rPr>
          <w:rFonts w:ascii="宋体" w:eastAsia="宋体" w:hAnsi="宋体" w:cs="宋体" w:hint="eastAsia"/>
          <w:b w:val="0"/>
          <w:i w:val="0"/>
          <w:sz w:val="21"/>
        </w:rPr>
        <w:t>．东营市实施生态修复项目固碳增汇，体现了自然环境的</w:t>
      </w:r>
    </w:p>
    <w:p w14:paraId="11299868">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．调节服务</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．供给服务</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．文化服务</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．支撑服务</w:t>
      </w:r>
    </w:p>
    <w:p w14:paraId="6514740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20</w:t>
      </w:r>
      <w:r>
        <w:rPr>
          <w:rFonts w:ascii="宋体" w:eastAsia="宋体" w:hAnsi="宋体" w:cs="宋体" w:hint="eastAsia"/>
          <w:b w:val="0"/>
          <w:i w:val="0"/>
          <w:sz w:val="21"/>
        </w:rPr>
        <w:t>．海草床将碳储存在其组织及其周围的沉积物中，这种储存可以保存数百至数千年，主要原因是</w:t>
      </w:r>
    </w:p>
    <w:p w14:paraId="5437650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．植物光合作用速率高，有机碳积累多</w:t>
      </w:r>
    </w:p>
    <w:p w14:paraId="5AD752E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B</w:t>
      </w:r>
      <w:r>
        <w:rPr>
          <w:rFonts w:ascii="宋体" w:eastAsia="宋体" w:hAnsi="宋体" w:cs="宋体" w:hint="eastAsia"/>
          <w:b w:val="0"/>
          <w:i w:val="0"/>
          <w:sz w:val="21"/>
        </w:rPr>
        <w:t>．水体环境缺氧，有机碳分解速度较慢</w:t>
      </w:r>
    </w:p>
    <w:p w14:paraId="5E625E5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rPr>
        <w:t>．海草冠层茂密，有机颗粒物长期悬浮</w:t>
      </w:r>
    </w:p>
    <w:p w14:paraId="26E5B90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D</w:t>
      </w:r>
      <w:r>
        <w:rPr>
          <w:rFonts w:ascii="宋体" w:eastAsia="宋体" w:hAnsi="宋体" w:cs="宋体" w:hint="eastAsia"/>
          <w:b w:val="0"/>
          <w:i w:val="0"/>
          <w:sz w:val="21"/>
        </w:rPr>
        <w:t>．滨海沉积作用强，将碳元素带入地下</w:t>
      </w:r>
    </w:p>
    <w:p w14:paraId="0F1EC23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21</w:t>
      </w:r>
      <w:r>
        <w:rPr>
          <w:rFonts w:ascii="宋体" w:eastAsia="宋体" w:hAnsi="宋体" w:cs="宋体" w:hint="eastAsia"/>
          <w:b w:val="0"/>
          <w:i w:val="0"/>
          <w:sz w:val="21"/>
        </w:rPr>
        <w:t>．该循环模式对我国维护生态安全的深远意义是</w:t>
      </w:r>
    </w:p>
    <w:p w14:paraId="26E6C245">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．通过市场化手段反哺生态保护</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．减少东部沿海地区的工业碳排放</w:t>
      </w:r>
    </w:p>
    <w:p w14:paraId="15D8F50D">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rPr>
        <w:t>．解决黄河三角洲地区环境问题</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．将生态压力转移至经济发达地区</w:t>
      </w:r>
    </w:p>
    <w:p w14:paraId="749F85C9">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库布齐沙漠（图</w:t>
      </w:r>
      <w:r>
        <w:rPr>
          <w:rFonts w:ascii="Times New Roman" w:eastAsia="楷体" w:hAnsi="Times New Roman" w:cs="Times New Roman" w:hint="default"/>
          <w:b w:val="0"/>
          <w:i w:val="0"/>
          <w:sz w:val="21"/>
        </w:rPr>
        <w:t>8</w:t>
      </w:r>
      <w:r>
        <w:rPr>
          <w:rFonts w:ascii="楷体" w:eastAsia="楷体" w:hAnsi="楷体" w:cs="楷体" w:hint="eastAsia"/>
          <w:b w:val="0"/>
          <w:i w:val="0"/>
          <w:sz w:val="21"/>
        </w:rPr>
        <w:t>）生态环境脆弱，荒漠化问题突出。近年来，当地依托北斗高精度导航、</w:t>
      </w:r>
      <w:r>
        <w:rPr>
          <w:rFonts w:ascii="Times New Roman" w:eastAsia="楷体" w:hAnsi="Times New Roman" w:cs="Times New Roman" w:hint="default"/>
          <w:b w:val="0"/>
          <w:i w:val="0"/>
          <w:sz w:val="21"/>
        </w:rPr>
        <w:t>AI</w:t>
      </w:r>
      <w:r>
        <w:rPr>
          <w:rFonts w:ascii="楷体" w:eastAsia="楷体" w:hAnsi="楷体" w:cs="楷体" w:hint="eastAsia"/>
          <w:b w:val="0"/>
          <w:i w:val="0"/>
          <w:sz w:val="21"/>
        </w:rPr>
        <w:t>视觉识别、光伏绿电动力技术，应用新一代“句芒</w:t>
      </w:r>
      <w:r>
        <w:rPr>
          <w:rFonts w:ascii="Times New Roman" w:eastAsia="楷体" w:hAnsi="Times New Roman" w:cs="Times New Roman" w:hint="default"/>
          <w:b w:val="0"/>
          <w:i w:val="0"/>
          <w:sz w:val="21"/>
        </w:rPr>
        <w:t>301</w:t>
      </w:r>
      <w:r>
        <w:rPr>
          <w:rFonts w:ascii="楷体" w:eastAsia="楷体" w:hAnsi="楷体" w:cs="楷体" w:hint="eastAsia"/>
          <w:b w:val="0"/>
          <w:i w:val="0"/>
          <w:sz w:val="21"/>
        </w:rPr>
        <w:t>”全自动植树机器人。该机器人可无人自主完成开沟、植苗、覆土、节水灌溉等全造林工序，以数字科技赋能沙区生态治理，提质增效。库布齐沙漠成为全球荒漠化防治的中国样板。据此完成</w:t>
      </w:r>
      <w:r>
        <w:rPr>
          <w:rFonts w:ascii="Times New Roman" w:eastAsia="楷体" w:hAnsi="Times New Roman" w:cs="Times New Roman" w:hint="default"/>
          <w:b w:val="0"/>
          <w:i w:val="0"/>
          <w:sz w:val="21"/>
        </w:rPr>
        <w:t>22</w:t>
      </w:r>
      <w:r>
        <w:rPr>
          <w:rFonts w:ascii="楷体" w:eastAsia="楷体" w:hAnsi="楷体" w:cs="楷体" w:hint="eastAsia"/>
          <w:b w:val="0"/>
          <w:i w:val="0"/>
          <w:sz w:val="21"/>
        </w:rPr>
        <w:t>～</w:t>
      </w:r>
      <w:r>
        <w:rPr>
          <w:rFonts w:ascii="Times New Roman" w:eastAsia="楷体" w:hAnsi="Times New Roman" w:cs="Times New Roman" w:hint="default"/>
          <w:b w:val="0"/>
          <w:i w:val="0"/>
          <w:sz w:val="21"/>
        </w:rPr>
        <w:t>24</w:t>
      </w:r>
      <w:r>
        <w:rPr>
          <w:rFonts w:ascii="楷体" w:eastAsia="楷体" w:hAnsi="楷体" w:cs="楷体" w:hint="eastAsia"/>
          <w:b w:val="0"/>
          <w:i w:val="0"/>
          <w:sz w:val="21"/>
        </w:rPr>
        <w:t>题。</w:t>
      </w:r>
    </w:p>
    <w:p w14:paraId="4A9E8795">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3676650" cy="2141855"/>
            <wp:effectExtent l="0" t="0" r="0" b="1079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12"/>
                    <a:stretch>
                      <a:fillRect/>
                    </a:stretch>
                  </pic:blipFill>
                  <pic:spPr>
                    <a:xfrm>
                      <a:off x="0" y="0"/>
                      <a:ext cx="3676650" cy="2142109"/>
                    </a:xfrm>
                    <a:prstGeom prst="rect">
                      <a:avLst/>
                    </a:prstGeom>
                  </pic:spPr>
                </pic:pic>
              </a:graphicData>
            </a:graphic>
          </wp:inline>
        </w:drawing>
      </w:r>
    </w:p>
    <w:p w14:paraId="516A67F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22</w:t>
      </w:r>
      <w:r>
        <w:rPr>
          <w:rFonts w:ascii="宋体" w:eastAsia="宋体" w:hAnsi="宋体" w:cs="宋体" w:hint="eastAsia"/>
          <w:b w:val="0"/>
          <w:i w:val="0"/>
          <w:sz w:val="21"/>
        </w:rPr>
        <w:t>．库布齐沙漠成为生态脆弱区的最主要自然原因是</w:t>
      </w:r>
    </w:p>
    <w:p w14:paraId="73EB3D9C">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①处于气候干旱区，降水极端稀少</w:t>
      </w:r>
      <w:r>
        <w:rPr>
          <w:rFonts w:ascii="宋体" w:eastAsia="宋体" w:hAnsi="宋体" w:cs="宋体" w:hint="eastAsia"/>
          <w:b w:val="0"/>
          <w:i w:val="0"/>
          <w:sz w:val="21"/>
          <w:lang w:val="en-US" w:eastAsia="zh-CN"/>
        </w:rPr>
        <w:tab/>
      </w:r>
      <w:r>
        <w:rPr>
          <w:rFonts w:ascii="宋体" w:eastAsia="宋体" w:hAnsi="宋体" w:cs="宋体" w:hint="eastAsia"/>
          <w:b w:val="0"/>
          <w:i w:val="0"/>
          <w:sz w:val="21"/>
        </w:rPr>
        <w:t>②距海远，降水具有临界性且变率大</w:t>
      </w:r>
    </w:p>
    <w:p w14:paraId="4B0B7BF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③地形起伏大，沙丘活动性强</w:t>
      </w:r>
      <w:r>
        <w:rPr>
          <w:rFonts w:ascii="宋体" w:eastAsia="宋体" w:hAnsi="宋体" w:cs="宋体" w:hint="eastAsia"/>
          <w:b w:val="0"/>
          <w:i w:val="0"/>
          <w:sz w:val="21"/>
          <w:lang w:val="en-US" w:eastAsia="zh-CN"/>
        </w:rPr>
        <w:tab/>
      </w:r>
      <w:r>
        <w:rPr>
          <w:rFonts w:ascii="宋体" w:eastAsia="宋体" w:hAnsi="宋体" w:cs="宋体" w:hint="eastAsia"/>
          <w:b w:val="0"/>
          <w:i w:val="0"/>
          <w:sz w:val="21"/>
          <w:lang w:val="en-US" w:eastAsia="zh-CN"/>
        </w:rPr>
        <w:tab/>
      </w:r>
      <w:r>
        <w:rPr>
          <w:rFonts w:ascii="宋体" w:eastAsia="宋体" w:hAnsi="宋体" w:cs="宋体" w:hint="eastAsia"/>
          <w:b w:val="0"/>
          <w:i w:val="0"/>
          <w:sz w:val="21"/>
        </w:rPr>
        <w:t>④靠近冬季风源地，大风日数多</w:t>
      </w:r>
    </w:p>
    <w:p w14:paraId="6DD8F1D8">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．①②</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．②③</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．③④</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．②④</w:t>
      </w:r>
    </w:p>
    <w:p w14:paraId="164F8842">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23</w:t>
      </w:r>
      <w:r>
        <w:rPr>
          <w:rFonts w:ascii="宋体" w:eastAsia="宋体" w:hAnsi="宋体" w:cs="宋体" w:hint="eastAsia"/>
          <w:b w:val="0"/>
          <w:i w:val="0"/>
          <w:sz w:val="21"/>
        </w:rPr>
        <w:t>．相较于传统人工植树，全自动机器人植树</w:t>
      </w:r>
    </w:p>
    <w:p w14:paraId="3F9BBFCD">
      <w:pPr>
        <w:keepLines w:val="0"/>
        <w:pageBreakBefore w:val="0"/>
        <w:widowControl/>
        <w:tabs>
          <w:tab w:val="left" w:pos="2435"/>
          <w:tab w:val="left" w:pos="4870"/>
          <w:tab w:val="left" w:pos="7305"/>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rPr>
        <w:t>．精简栽种工序</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rPr>
        <w:t>．提升造林效率</w:t>
      </w:r>
      <w:r>
        <w:rPr>
          <w:rFonts w:ascii="宋体" w:eastAsia="宋体" w:hAnsi="宋体" w:cs="宋体" w:hint="eastAsia"/>
          <w:b w:val="0"/>
          <w:i w:val="0"/>
          <w:sz w:val="21"/>
        </w:rPr>
        <w:tab/>
      </w:r>
      <w:r>
        <w:rPr>
          <w:rFonts w:ascii="Times New Roman" w:eastAsia="宋体" w:hAnsi="Times New Roman" w:cs="Times New Roman" w:hint="default"/>
          <w:b w:val="0"/>
          <w:i w:val="0"/>
          <w:sz w:val="21"/>
        </w:rPr>
        <w:t>C</w:t>
      </w:r>
      <w:r>
        <w:rPr>
          <w:rFonts w:ascii="宋体" w:eastAsia="宋体" w:hAnsi="宋体" w:cs="宋体" w:hint="eastAsia"/>
          <w:b w:val="0"/>
          <w:i w:val="0"/>
          <w:sz w:val="21"/>
        </w:rPr>
        <w:t>．苗木成活率低</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rPr>
        <w:t>．后期管护成本低</w:t>
      </w:r>
    </w:p>
    <w:p w14:paraId="6B33C8A6">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24</w:t>
      </w:r>
      <w:r>
        <w:rPr>
          <w:rFonts w:ascii="宋体" w:eastAsia="宋体" w:hAnsi="宋体" w:cs="宋体" w:hint="eastAsia"/>
          <w:b w:val="0"/>
          <w:i w:val="0"/>
          <w:sz w:val="21"/>
        </w:rPr>
        <w:t>．全自动植树机器人在库布齐沙漠实地测试中，能反映对当地气候适应性的测试项目是</w:t>
      </w:r>
    </w:p>
    <w:p w14:paraId="2D3BE3A7">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A</w:t>
      </w:r>
      <w:r>
        <w:rPr>
          <w:rFonts w:ascii="宋体" w:eastAsia="宋体" w:hAnsi="宋体" w:cs="宋体" w:hint="eastAsia"/>
          <w:b w:val="0"/>
          <w:i w:val="0"/>
          <w:sz w:val="21"/>
          <w:lang w:eastAsia="zh-CN"/>
        </w:rPr>
        <w:t>．</w:t>
      </w:r>
      <w:r>
        <w:rPr>
          <w:rFonts w:ascii="宋体" w:eastAsia="宋体" w:hAnsi="宋体" w:cs="宋体" w:hint="eastAsia"/>
          <w:b w:val="0"/>
          <w:i w:val="0"/>
          <w:sz w:val="21"/>
        </w:rPr>
        <w:t>沙丘地形的爬坡越障能力</w:t>
      </w:r>
      <w:r>
        <w:rPr>
          <w:rFonts w:ascii="宋体" w:eastAsia="宋体" w:hAnsi="宋体" w:cs="宋体" w:hint="eastAsia"/>
          <w:b w:val="0"/>
          <w:i w:val="0"/>
          <w:sz w:val="21"/>
        </w:rPr>
        <w:tab/>
      </w:r>
      <w:r>
        <w:rPr>
          <w:rFonts w:ascii="Times New Roman" w:eastAsia="宋体" w:hAnsi="Times New Roman" w:cs="Times New Roman" w:hint="default"/>
          <w:b w:val="0"/>
          <w:i w:val="0"/>
          <w:sz w:val="21"/>
        </w:rPr>
        <w:t>B</w:t>
      </w:r>
      <w:r>
        <w:rPr>
          <w:rFonts w:ascii="宋体" w:eastAsia="宋体" w:hAnsi="宋体" w:cs="宋体" w:hint="eastAsia"/>
          <w:b w:val="0"/>
          <w:i w:val="0"/>
          <w:sz w:val="21"/>
          <w:lang w:eastAsia="zh-CN"/>
        </w:rPr>
        <w:t>．</w:t>
      </w:r>
      <w:r>
        <w:rPr>
          <w:rFonts w:ascii="宋体" w:eastAsia="宋体" w:hAnsi="宋体" w:cs="宋体" w:hint="eastAsia"/>
          <w:b w:val="0"/>
          <w:i w:val="0"/>
          <w:sz w:val="21"/>
        </w:rPr>
        <w:t>极端高温环境动力稳定性</w:t>
      </w:r>
    </w:p>
    <w:p w14:paraId="5ED39CDD">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C</w:t>
      </w:r>
      <w:r>
        <w:rPr>
          <w:rFonts w:ascii="宋体" w:eastAsia="宋体" w:hAnsi="宋体" w:cs="宋体" w:hint="eastAsia"/>
          <w:b w:val="0"/>
          <w:i w:val="0"/>
          <w:sz w:val="21"/>
          <w:lang w:eastAsia="zh-CN"/>
        </w:rPr>
        <w:t>．</w:t>
      </w:r>
      <w:r>
        <w:rPr>
          <w:rFonts w:ascii="宋体" w:eastAsia="宋体" w:hAnsi="宋体" w:cs="宋体" w:hint="eastAsia"/>
          <w:b w:val="0"/>
          <w:i w:val="0"/>
          <w:sz w:val="21"/>
        </w:rPr>
        <w:t>无信号区域自主导航精度</w:t>
      </w:r>
      <w:r>
        <w:rPr>
          <w:rFonts w:ascii="宋体" w:eastAsia="宋体" w:hAnsi="宋体" w:cs="宋体" w:hint="eastAsia"/>
          <w:b w:val="0"/>
          <w:i w:val="0"/>
          <w:sz w:val="21"/>
        </w:rPr>
        <w:tab/>
      </w:r>
      <w:r>
        <w:rPr>
          <w:rFonts w:ascii="Times New Roman" w:eastAsia="宋体" w:hAnsi="Times New Roman" w:cs="Times New Roman" w:hint="default"/>
          <w:b w:val="0"/>
          <w:i w:val="0"/>
          <w:sz w:val="21"/>
        </w:rPr>
        <w:t>D</w:t>
      </w:r>
      <w:r>
        <w:rPr>
          <w:rFonts w:ascii="宋体" w:eastAsia="宋体" w:hAnsi="宋体" w:cs="宋体" w:hint="eastAsia"/>
          <w:b w:val="0"/>
          <w:i w:val="0"/>
          <w:sz w:val="21"/>
          <w:lang w:eastAsia="zh-CN"/>
        </w:rPr>
        <w:t>．</w:t>
      </w:r>
      <w:r>
        <w:rPr>
          <w:rFonts w:ascii="宋体" w:eastAsia="宋体" w:hAnsi="宋体" w:cs="宋体" w:hint="eastAsia"/>
          <w:b w:val="0"/>
          <w:i w:val="0"/>
          <w:sz w:val="21"/>
        </w:rPr>
        <w:t>一次性完成多道工序效率</w:t>
      </w:r>
      <w:bookmarkEnd w:id="3"/>
      <w:bookmarkStart w:id="4" w:name="page_5"/>
    </w:p>
    <w:p w14:paraId="50D11022">
      <w:pPr>
        <w:keepLines w:val="0"/>
        <w:pageBreakBefore w:val="0"/>
        <w:widowControl/>
        <w:tabs>
          <w:tab w:val="left" w:pos="4870"/>
        </w:tabs>
        <w:kinsoku/>
        <w:wordWrap/>
        <w:overflowPunct/>
        <w:topLinePunct w:val="0"/>
        <w:autoSpaceDE/>
        <w:autoSpaceDN/>
        <w:bidi w:val="0"/>
        <w:adjustRightInd/>
        <w:snapToGrid/>
        <w:spacing w:line="360" w:lineRule="auto"/>
        <w:textAlignment w:val="auto"/>
        <w:rPr>
          <w:rFonts w:ascii="宋体" w:eastAsia="宋体" w:hAnsi="宋体" w:cs="宋体" w:hint="eastAsia"/>
          <w:b/>
          <w:bCs/>
          <w:i w:val="0"/>
          <w:sz w:val="24"/>
          <w:szCs w:val="24"/>
        </w:rPr>
      </w:pPr>
      <w:r>
        <w:rPr>
          <w:rFonts w:ascii="宋体" w:eastAsia="宋体" w:hAnsi="宋体" w:cs="宋体" w:hint="eastAsia"/>
          <w:b/>
          <w:bCs/>
          <w:i w:val="0"/>
          <w:sz w:val="24"/>
          <w:szCs w:val="24"/>
        </w:rPr>
        <w:t>二、非选择题（共</w:t>
      </w:r>
      <w:r>
        <w:rPr>
          <w:rFonts w:ascii="Times New Roman" w:eastAsia="宋体" w:hAnsi="Times New Roman" w:cs="Times New Roman" w:hint="default"/>
          <w:b/>
          <w:bCs/>
          <w:i w:val="0"/>
          <w:sz w:val="24"/>
          <w:szCs w:val="24"/>
        </w:rPr>
        <w:t>4</w:t>
      </w:r>
      <w:r>
        <w:rPr>
          <w:rFonts w:ascii="宋体" w:eastAsia="宋体" w:hAnsi="宋体" w:cs="宋体" w:hint="eastAsia"/>
          <w:b/>
          <w:bCs/>
          <w:i w:val="0"/>
          <w:sz w:val="24"/>
          <w:szCs w:val="24"/>
        </w:rPr>
        <w:t>题，</w:t>
      </w:r>
      <w:r>
        <w:rPr>
          <w:rFonts w:ascii="Times New Roman" w:eastAsia="宋体" w:hAnsi="Times New Roman" w:cs="Times New Roman" w:hint="default"/>
          <w:b/>
          <w:bCs/>
          <w:i w:val="0"/>
          <w:sz w:val="24"/>
          <w:szCs w:val="24"/>
        </w:rPr>
        <w:t>52</w:t>
      </w:r>
      <w:r>
        <w:rPr>
          <w:rFonts w:ascii="宋体" w:eastAsia="宋体" w:hAnsi="宋体" w:cs="宋体" w:hint="eastAsia"/>
          <w:b/>
          <w:bCs/>
          <w:i w:val="0"/>
          <w:sz w:val="24"/>
          <w:szCs w:val="24"/>
        </w:rPr>
        <w:t>分）</w:t>
      </w:r>
    </w:p>
    <w:p w14:paraId="0A26A3C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25</w:t>
      </w:r>
      <w:r>
        <w:rPr>
          <w:rFonts w:ascii="宋体" w:eastAsia="宋体" w:hAnsi="宋体" w:cs="宋体" w:hint="eastAsia"/>
          <w:b w:val="0"/>
          <w:i w:val="0"/>
          <w:sz w:val="21"/>
        </w:rPr>
        <w:t>．阅读图文材料，完成下列要求。（</w:t>
      </w:r>
      <w:r>
        <w:rPr>
          <w:rFonts w:ascii="Times New Roman" w:eastAsia="宋体" w:hAnsi="Times New Roman" w:cs="Times New Roman" w:hint="default"/>
          <w:b w:val="0"/>
          <w:i w:val="0"/>
          <w:sz w:val="21"/>
        </w:rPr>
        <w:t>10</w:t>
      </w:r>
      <w:r>
        <w:rPr>
          <w:rFonts w:ascii="宋体" w:eastAsia="宋体" w:hAnsi="宋体" w:cs="宋体" w:hint="eastAsia"/>
          <w:b w:val="0"/>
          <w:i w:val="0"/>
          <w:sz w:val="21"/>
        </w:rPr>
        <w:t>分）</w:t>
      </w:r>
    </w:p>
    <w:p w14:paraId="754770D0">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宋体" w:eastAsia="宋体" w:hAnsi="宋体" w:cs="宋体" w:hint="eastAsia"/>
          <w:b/>
          <w:bCs/>
          <w:i w:val="0"/>
          <w:sz w:val="21"/>
        </w:rPr>
        <w:t>材料一</w:t>
      </w:r>
      <w:r>
        <w:rPr>
          <w:rFonts w:ascii="楷体" w:eastAsia="楷体" w:hAnsi="楷体" w:cs="楷体" w:hint="eastAsia"/>
          <w:b w:val="0"/>
          <w:i w:val="0"/>
          <w:sz w:val="21"/>
        </w:rPr>
        <w:t xml:space="preserve"> 铌属于战略性稀有金属，广泛应用于现代尖端电子、钢铁军工、航天工业及医疗设备制造等领域。我国的铌矿储量有限，矿石品位低，多与稀土、钽等多金属元素伴生，传统开采回收效率低下。表</w:t>
      </w:r>
      <w:r>
        <w:rPr>
          <w:rFonts w:ascii="Times New Roman" w:eastAsia="楷体" w:hAnsi="Times New Roman" w:cs="Times New Roman" w:hint="default"/>
          <w:b w:val="0"/>
          <w:i w:val="0"/>
          <w:sz w:val="21"/>
        </w:rPr>
        <w:t>1</w:t>
      </w:r>
      <w:r>
        <w:rPr>
          <w:rFonts w:ascii="楷体" w:eastAsia="楷体" w:hAnsi="楷体" w:cs="楷体" w:hint="eastAsia"/>
          <w:b w:val="0"/>
          <w:i w:val="0"/>
          <w:sz w:val="21"/>
        </w:rPr>
        <w:t>示意</w:t>
      </w:r>
      <w:r>
        <w:rPr>
          <w:rFonts w:ascii="Times New Roman" w:eastAsia="楷体" w:hAnsi="Times New Roman" w:cs="Times New Roman" w:hint="default"/>
          <w:b w:val="0"/>
          <w:i w:val="0"/>
          <w:sz w:val="21"/>
        </w:rPr>
        <w:t>2022</w:t>
      </w:r>
      <w:r>
        <w:rPr>
          <w:rFonts w:ascii="楷体" w:eastAsia="楷体" w:hAnsi="楷体" w:cs="楷体" w:hint="eastAsia"/>
          <w:b w:val="0"/>
          <w:i w:val="0"/>
          <w:sz w:val="21"/>
        </w:rPr>
        <w:t>-</w:t>
      </w:r>
      <w:r>
        <w:rPr>
          <w:rFonts w:ascii="Times New Roman" w:eastAsia="楷体" w:hAnsi="Times New Roman" w:cs="Times New Roman" w:hint="default"/>
          <w:b w:val="0"/>
          <w:i w:val="0"/>
          <w:sz w:val="21"/>
        </w:rPr>
        <w:t>2024</w:t>
      </w:r>
      <w:r>
        <w:rPr>
          <w:rFonts w:ascii="楷体" w:eastAsia="楷体" w:hAnsi="楷体" w:cs="楷体" w:hint="eastAsia"/>
          <w:b w:val="0"/>
          <w:i w:val="0"/>
          <w:sz w:val="21"/>
        </w:rPr>
        <w:t>年我国铌矿主要进口国、占比及对外依存度。</w:t>
      </w:r>
    </w:p>
    <w:p w14:paraId="15F4A854">
      <w:pPr>
        <w:keepLines w:val="0"/>
        <w:pageBreakBefore w:val="0"/>
        <w:widowControl/>
        <w:kinsoku/>
        <w:wordWrap/>
        <w:overflowPunct/>
        <w:topLinePunct w:val="0"/>
        <w:autoSpaceDE/>
        <w:autoSpaceDN/>
        <w:bidi w:val="0"/>
        <w:adjustRightInd/>
        <w:snapToGrid/>
        <w:spacing w:line="360" w:lineRule="auto"/>
        <w:jc w:val="center"/>
        <w:textAlignment w:val="auto"/>
        <w:rPr>
          <w:rFonts w:ascii="宋体" w:eastAsia="宋体" w:hAnsi="宋体" w:cs="宋体" w:hint="eastAsia"/>
          <w:b w:val="0"/>
          <w:i w:val="0"/>
          <w:sz w:val="21"/>
        </w:rPr>
      </w:pPr>
      <w:r>
        <w:rPr>
          <w:rFonts w:ascii="楷体" w:eastAsia="楷体" w:hAnsi="楷体" w:cs="楷体" w:hint="eastAsia"/>
          <w:b w:val="0"/>
          <w:i w:val="0"/>
          <w:sz w:val="21"/>
        </w:rPr>
        <w:t>表</w:t>
      </w:r>
      <w:r>
        <w:rPr>
          <w:rFonts w:ascii="Times New Roman" w:eastAsia="宋体" w:hAnsi="Times New Roman" w:cs="Times New Roman" w:hint="default"/>
          <w:b w:val="0"/>
          <w:i w:val="0"/>
          <w:sz w:val="21"/>
        </w:rPr>
        <w:t>1</w:t>
      </w:r>
    </w:p>
    <w:tbl>
      <w:tblPr>
        <w:tblStyle w:val="TableNormal"/>
        <w:tblW w:w="4849"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1874"/>
        <w:gridCol w:w="1979"/>
        <w:gridCol w:w="1946"/>
        <w:gridCol w:w="1715"/>
        <w:gridCol w:w="2165"/>
      </w:tblGrid>
      <w:tr w14:paraId="0B011330">
        <w:tblPrEx>
          <w:tblW w:w="4849"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rPr>
          <w:tblHeader/>
        </w:trPr>
        <w:tc>
          <w:tcPr>
            <w:tcW w:w="968" w:type="pct"/>
            <w:vMerge w:val="restart"/>
            <w:noWrap w:val="0"/>
            <w:tcMar>
              <w:top w:w="120" w:type="dxa"/>
              <w:left w:w="120" w:type="dxa"/>
              <w:bottom w:w="120" w:type="dxa"/>
              <w:right w:w="120" w:type="dxa"/>
            </w:tcMar>
            <w:vAlign w:val="center"/>
          </w:tcPr>
          <w:p w14:paraId="2EE210F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时间</w:t>
            </w:r>
          </w:p>
        </w:tc>
        <w:tc>
          <w:tcPr>
            <w:tcW w:w="2913" w:type="pct"/>
            <w:gridSpan w:val="3"/>
            <w:noWrap w:val="0"/>
            <w:tcMar>
              <w:top w:w="120" w:type="dxa"/>
              <w:left w:w="120" w:type="dxa"/>
              <w:bottom w:w="120" w:type="dxa"/>
              <w:right w:w="120" w:type="dxa"/>
            </w:tcMar>
            <w:vAlign w:val="center"/>
          </w:tcPr>
          <w:p w14:paraId="24DADFF9">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我国铌矿主要进口国及占比</w:t>
            </w:r>
          </w:p>
        </w:tc>
        <w:tc>
          <w:tcPr>
            <w:tcW w:w="1118" w:type="pct"/>
            <w:vMerge w:val="restart"/>
            <w:noWrap w:val="0"/>
            <w:tcMar>
              <w:top w:w="120" w:type="dxa"/>
              <w:left w:w="120" w:type="dxa"/>
              <w:bottom w:w="120" w:type="dxa"/>
              <w:right w:w="120" w:type="dxa"/>
            </w:tcMar>
            <w:vAlign w:val="center"/>
          </w:tcPr>
          <w:p w14:paraId="0F74DE53">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对外依存度</w:t>
            </w:r>
          </w:p>
        </w:tc>
      </w:tr>
      <w:tr w14:paraId="5F748010">
        <w:tblPrEx>
          <w:tblW w:w="4849" w:type="pct"/>
          <w:tblInd w:w="128" w:type="dxa"/>
          <w:tblCellMar>
            <w:top w:w="15" w:type="dxa"/>
            <w:left w:w="15" w:type="dxa"/>
            <w:bottom w:w="15" w:type="dxa"/>
            <w:right w:w="15" w:type="dxa"/>
          </w:tblCellMar>
        </w:tblPrEx>
        <w:trPr>
          <w:tblHeader/>
        </w:trPr>
        <w:tc>
          <w:tcPr>
            <w:tcW w:w="968" w:type="pct"/>
            <w:vMerge/>
            <w:vAlign w:val="center"/>
          </w:tcPr>
          <w:p w14:paraId="25032E5D">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rPr>
            </w:pPr>
          </w:p>
        </w:tc>
        <w:tc>
          <w:tcPr>
            <w:tcW w:w="1022" w:type="pct"/>
            <w:noWrap w:val="0"/>
            <w:tcMar>
              <w:top w:w="120" w:type="dxa"/>
              <w:left w:w="120" w:type="dxa"/>
              <w:bottom w:w="120" w:type="dxa"/>
              <w:right w:w="120" w:type="dxa"/>
            </w:tcMar>
            <w:vAlign w:val="center"/>
          </w:tcPr>
          <w:p w14:paraId="08D2C576">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巴西</w:t>
            </w:r>
          </w:p>
        </w:tc>
        <w:tc>
          <w:tcPr>
            <w:noWrap w:val="0"/>
            <w:tcMar>
              <w:top w:w="120" w:type="dxa"/>
              <w:left w:w="120" w:type="dxa"/>
              <w:bottom w:w="120" w:type="dxa"/>
              <w:right w:w="120" w:type="dxa"/>
            </w:tcMar>
            <w:vAlign w:val="center"/>
          </w:tcPr>
          <w:p w14:paraId="21B43E3D">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加拿大</w:t>
            </w:r>
          </w:p>
        </w:tc>
        <w:tc>
          <w:tcPr>
            <w:noWrap w:val="0"/>
            <w:tcMar>
              <w:top w:w="120" w:type="dxa"/>
              <w:left w:w="120" w:type="dxa"/>
              <w:bottom w:w="120" w:type="dxa"/>
              <w:right w:w="120" w:type="dxa"/>
            </w:tcMar>
            <w:vAlign w:val="center"/>
          </w:tcPr>
          <w:p w14:paraId="0A7E570C">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楷体" w:eastAsia="楷体" w:hAnsi="楷体" w:cs="楷体" w:hint="eastAsia"/>
                <w:b w:val="0"/>
                <w:bCs w:val="0"/>
                <w:i w:val="0"/>
                <w:sz w:val="21"/>
              </w:rPr>
            </w:pPr>
            <w:r>
              <w:rPr>
                <w:rFonts w:ascii="楷体" w:eastAsia="楷体" w:hAnsi="楷体" w:cs="楷体" w:hint="eastAsia"/>
                <w:b w:val="0"/>
                <w:bCs w:val="0"/>
                <w:i w:val="0"/>
                <w:sz w:val="21"/>
              </w:rPr>
              <w:t>其他</w:t>
            </w:r>
          </w:p>
        </w:tc>
        <w:tc>
          <w:tcPr>
            <w:tcW w:w="1118" w:type="pct"/>
            <w:vMerge/>
            <w:vAlign w:val="center"/>
          </w:tcPr>
          <w:p w14:paraId="1F897ABB">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rPr>
            </w:pPr>
          </w:p>
        </w:tc>
      </w:tr>
      <w:tr w14:paraId="63B208E9">
        <w:tblPrEx>
          <w:tblW w:w="4849" w:type="pct"/>
          <w:tblInd w:w="128" w:type="dxa"/>
          <w:tblCellMar>
            <w:top w:w="15" w:type="dxa"/>
            <w:left w:w="15" w:type="dxa"/>
            <w:bottom w:w="15" w:type="dxa"/>
            <w:right w:w="15" w:type="dxa"/>
          </w:tblCellMar>
        </w:tblPrEx>
        <w:tc>
          <w:tcPr>
            <w:tcW w:w="968" w:type="pct"/>
            <w:noWrap w:val="0"/>
            <w:tcMar>
              <w:top w:w="120" w:type="dxa"/>
              <w:left w:w="120" w:type="dxa"/>
              <w:bottom w:w="120" w:type="dxa"/>
              <w:right w:w="120" w:type="dxa"/>
            </w:tcMar>
            <w:vAlign w:val="center"/>
          </w:tcPr>
          <w:p w14:paraId="6BE10C4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2022</w:t>
            </w:r>
            <w:r>
              <w:rPr>
                <w:rFonts w:ascii="楷体" w:eastAsia="楷体" w:hAnsi="楷体" w:cs="楷体" w:hint="eastAsia"/>
                <w:b w:val="0"/>
                <w:i w:val="0"/>
                <w:sz w:val="21"/>
              </w:rPr>
              <w:t>年</w:t>
            </w:r>
          </w:p>
        </w:tc>
        <w:tc>
          <w:tcPr>
            <w:tcW w:w="1022" w:type="pct"/>
            <w:noWrap w:val="0"/>
            <w:tcMar>
              <w:top w:w="120" w:type="dxa"/>
              <w:left w:w="120" w:type="dxa"/>
              <w:bottom w:w="120" w:type="dxa"/>
              <w:right w:w="120" w:type="dxa"/>
            </w:tcMar>
            <w:vAlign w:val="center"/>
          </w:tcPr>
          <w:p w14:paraId="08FCCE4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98.50%</w:t>
            </w:r>
          </w:p>
        </w:tc>
        <w:tc>
          <w:tcPr>
            <w:noWrap w:val="0"/>
            <w:tcMar>
              <w:top w:w="120" w:type="dxa"/>
              <w:left w:w="120" w:type="dxa"/>
              <w:bottom w:w="120" w:type="dxa"/>
              <w:right w:w="120" w:type="dxa"/>
            </w:tcMar>
            <w:vAlign w:val="center"/>
          </w:tcPr>
          <w:p w14:paraId="31792B2D">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1.20%</w:t>
            </w:r>
          </w:p>
        </w:tc>
        <w:tc>
          <w:tcPr>
            <w:noWrap w:val="0"/>
            <w:tcMar>
              <w:top w:w="120" w:type="dxa"/>
              <w:left w:w="120" w:type="dxa"/>
              <w:bottom w:w="120" w:type="dxa"/>
              <w:right w:w="120" w:type="dxa"/>
            </w:tcMar>
            <w:vAlign w:val="center"/>
          </w:tcPr>
          <w:p w14:paraId="3FB386F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0.30%</w:t>
            </w:r>
          </w:p>
        </w:tc>
        <w:tc>
          <w:tcPr>
            <w:tcW w:w="1118" w:type="pct"/>
            <w:noWrap w:val="0"/>
            <w:tcMar>
              <w:top w:w="120" w:type="dxa"/>
              <w:left w:w="120" w:type="dxa"/>
              <w:bottom w:w="120" w:type="dxa"/>
              <w:right w:w="120" w:type="dxa"/>
            </w:tcMar>
            <w:vAlign w:val="center"/>
          </w:tcPr>
          <w:p w14:paraId="4F5BDFEE">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98.07%</w:t>
            </w:r>
          </w:p>
        </w:tc>
      </w:tr>
      <w:tr w14:paraId="46F26B01">
        <w:tblPrEx>
          <w:tblW w:w="4849" w:type="pct"/>
          <w:tblInd w:w="128" w:type="dxa"/>
          <w:tblCellMar>
            <w:top w:w="15" w:type="dxa"/>
            <w:left w:w="15" w:type="dxa"/>
            <w:bottom w:w="15" w:type="dxa"/>
            <w:right w:w="15" w:type="dxa"/>
          </w:tblCellMar>
        </w:tblPrEx>
        <w:tc>
          <w:tcPr>
            <w:tcW w:w="968" w:type="pct"/>
            <w:noWrap w:val="0"/>
            <w:tcMar>
              <w:top w:w="120" w:type="dxa"/>
              <w:left w:w="120" w:type="dxa"/>
              <w:bottom w:w="120" w:type="dxa"/>
              <w:right w:w="120" w:type="dxa"/>
            </w:tcMar>
            <w:vAlign w:val="center"/>
          </w:tcPr>
          <w:p w14:paraId="0629F9AD">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2023</w:t>
            </w:r>
            <w:r>
              <w:rPr>
                <w:rFonts w:ascii="楷体" w:eastAsia="楷体" w:hAnsi="楷体" w:cs="楷体" w:hint="default"/>
                <w:b w:val="0"/>
                <w:i w:val="0"/>
                <w:sz w:val="21"/>
              </w:rPr>
              <w:t>年</w:t>
            </w:r>
          </w:p>
        </w:tc>
        <w:tc>
          <w:tcPr>
            <w:tcW w:w="1022" w:type="pct"/>
            <w:noWrap w:val="0"/>
            <w:tcMar>
              <w:top w:w="120" w:type="dxa"/>
              <w:left w:w="120" w:type="dxa"/>
              <w:bottom w:w="120" w:type="dxa"/>
              <w:right w:w="120" w:type="dxa"/>
            </w:tcMar>
            <w:vAlign w:val="center"/>
          </w:tcPr>
          <w:p w14:paraId="58DC81B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86.20%</w:t>
            </w:r>
          </w:p>
        </w:tc>
        <w:tc>
          <w:tcPr>
            <w:noWrap w:val="0"/>
            <w:tcMar>
              <w:top w:w="120" w:type="dxa"/>
              <w:left w:w="120" w:type="dxa"/>
              <w:bottom w:w="120" w:type="dxa"/>
              <w:right w:w="120" w:type="dxa"/>
            </w:tcMar>
            <w:vAlign w:val="center"/>
          </w:tcPr>
          <w:p w14:paraId="107ED8CD">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10.50%</w:t>
            </w:r>
          </w:p>
        </w:tc>
        <w:tc>
          <w:tcPr>
            <w:noWrap w:val="0"/>
            <w:tcMar>
              <w:top w:w="120" w:type="dxa"/>
              <w:left w:w="120" w:type="dxa"/>
              <w:bottom w:w="120" w:type="dxa"/>
              <w:right w:w="120" w:type="dxa"/>
            </w:tcMar>
            <w:vAlign w:val="center"/>
          </w:tcPr>
          <w:p w14:paraId="5DF55969">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3.30%</w:t>
            </w:r>
          </w:p>
        </w:tc>
        <w:tc>
          <w:tcPr>
            <w:tcW w:w="1118" w:type="pct"/>
            <w:noWrap w:val="0"/>
            <w:tcMar>
              <w:top w:w="120" w:type="dxa"/>
              <w:left w:w="120" w:type="dxa"/>
              <w:bottom w:w="120" w:type="dxa"/>
              <w:right w:w="120" w:type="dxa"/>
            </w:tcMar>
            <w:vAlign w:val="center"/>
          </w:tcPr>
          <w:p w14:paraId="27E3FCA2">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97.91%</w:t>
            </w:r>
          </w:p>
        </w:tc>
      </w:tr>
      <w:tr w14:paraId="447CD457">
        <w:tblPrEx>
          <w:tblW w:w="4849" w:type="pct"/>
          <w:tblInd w:w="128" w:type="dxa"/>
          <w:tblCellMar>
            <w:top w:w="15" w:type="dxa"/>
            <w:left w:w="15" w:type="dxa"/>
            <w:bottom w:w="15" w:type="dxa"/>
            <w:right w:w="15" w:type="dxa"/>
          </w:tblCellMar>
        </w:tblPrEx>
        <w:tc>
          <w:tcPr>
            <w:tcW w:w="968" w:type="pct"/>
            <w:noWrap w:val="0"/>
            <w:tcMar>
              <w:top w:w="120" w:type="dxa"/>
              <w:left w:w="120" w:type="dxa"/>
              <w:bottom w:w="120" w:type="dxa"/>
              <w:right w:w="120" w:type="dxa"/>
            </w:tcMar>
            <w:vAlign w:val="center"/>
          </w:tcPr>
          <w:p w14:paraId="5F4CF69E">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2024</w:t>
            </w:r>
            <w:r>
              <w:rPr>
                <w:rFonts w:ascii="楷体" w:eastAsia="楷体" w:hAnsi="楷体" w:cs="楷体" w:hint="default"/>
                <w:b w:val="0"/>
                <w:i w:val="0"/>
                <w:sz w:val="21"/>
              </w:rPr>
              <w:t>年</w:t>
            </w:r>
          </w:p>
        </w:tc>
        <w:tc>
          <w:tcPr>
            <w:tcW w:w="1022" w:type="pct"/>
            <w:noWrap w:val="0"/>
            <w:tcMar>
              <w:top w:w="120" w:type="dxa"/>
              <w:left w:w="120" w:type="dxa"/>
              <w:bottom w:w="120" w:type="dxa"/>
              <w:right w:w="120" w:type="dxa"/>
            </w:tcMar>
            <w:vAlign w:val="center"/>
          </w:tcPr>
          <w:p w14:paraId="29FF6C4C">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78.10%</w:t>
            </w:r>
          </w:p>
        </w:tc>
        <w:tc>
          <w:tcPr>
            <w:noWrap w:val="0"/>
            <w:tcMar>
              <w:top w:w="120" w:type="dxa"/>
              <w:left w:w="120" w:type="dxa"/>
              <w:bottom w:w="120" w:type="dxa"/>
              <w:right w:w="120" w:type="dxa"/>
            </w:tcMar>
            <w:vAlign w:val="center"/>
          </w:tcPr>
          <w:p w14:paraId="38A51E26">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15.60%</w:t>
            </w:r>
          </w:p>
        </w:tc>
        <w:tc>
          <w:tcPr>
            <w:noWrap w:val="0"/>
            <w:tcMar>
              <w:top w:w="120" w:type="dxa"/>
              <w:left w:w="120" w:type="dxa"/>
              <w:bottom w:w="120" w:type="dxa"/>
              <w:right w:w="120" w:type="dxa"/>
            </w:tcMar>
            <w:vAlign w:val="center"/>
          </w:tcPr>
          <w:p w14:paraId="31967BE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6.30%</w:t>
            </w:r>
          </w:p>
        </w:tc>
        <w:tc>
          <w:tcPr>
            <w:tcW w:w="1118" w:type="pct"/>
            <w:noWrap w:val="0"/>
            <w:tcMar>
              <w:top w:w="120" w:type="dxa"/>
              <w:left w:w="120" w:type="dxa"/>
              <w:bottom w:w="120" w:type="dxa"/>
              <w:right w:w="120" w:type="dxa"/>
            </w:tcMar>
            <w:vAlign w:val="center"/>
          </w:tcPr>
          <w:p w14:paraId="226734B3">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ascii="Times New Roman" w:eastAsia="宋体" w:hAnsi="Times New Roman" w:cs="Times New Roman" w:hint="default"/>
                <w:b w:val="0"/>
                <w:i w:val="0"/>
                <w:sz w:val="21"/>
              </w:rPr>
            </w:pPr>
            <w:r>
              <w:rPr>
                <w:rFonts w:ascii="Times New Roman" w:eastAsia="宋体" w:hAnsi="Times New Roman" w:cs="Times New Roman" w:hint="default"/>
                <w:b w:val="0"/>
                <w:i w:val="0"/>
                <w:sz w:val="21"/>
              </w:rPr>
              <w:t>97.75%</w:t>
            </w:r>
          </w:p>
        </w:tc>
      </w:tr>
    </w:tbl>
    <w:p w14:paraId="26804998">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宋体" w:eastAsia="宋体" w:hAnsi="宋体" w:cs="宋体" w:hint="eastAsia"/>
          <w:b/>
          <w:bCs/>
          <w:i w:val="0"/>
          <w:sz w:val="21"/>
        </w:rPr>
        <w:t>材料二</w:t>
      </w:r>
      <w:r>
        <w:rPr>
          <w:rFonts w:ascii="楷体" w:eastAsia="楷体" w:hAnsi="楷体" w:cs="楷体" w:hint="eastAsia"/>
          <w:b w:val="0"/>
          <w:i w:val="0"/>
          <w:sz w:val="21"/>
        </w:rPr>
        <w:t xml:space="preserve"> </w:t>
      </w:r>
      <w:r>
        <w:rPr>
          <w:rFonts w:ascii="Times New Roman" w:eastAsia="楷体" w:hAnsi="Times New Roman" w:cs="Times New Roman" w:hint="default"/>
          <w:b w:val="0"/>
          <w:i w:val="0"/>
          <w:sz w:val="21"/>
        </w:rPr>
        <w:t>2025</w:t>
      </w:r>
      <w:r>
        <w:rPr>
          <w:rFonts w:ascii="楷体" w:eastAsia="楷体" w:hAnsi="楷体" w:cs="楷体" w:hint="eastAsia"/>
          <w:b w:val="0"/>
          <w:i w:val="0"/>
          <w:sz w:val="21"/>
        </w:rPr>
        <w:t>年初，国内低品位铌矿选矿新工艺投产（图</w:t>
      </w:r>
      <w:r>
        <w:rPr>
          <w:rFonts w:ascii="Times New Roman" w:eastAsia="楷体" w:hAnsi="Times New Roman" w:cs="Times New Roman" w:hint="default"/>
          <w:b w:val="0"/>
          <w:i w:val="0"/>
          <w:sz w:val="21"/>
        </w:rPr>
        <w:t>9</w:t>
      </w:r>
      <w:r>
        <w:rPr>
          <w:rFonts w:ascii="楷体" w:eastAsia="楷体" w:hAnsi="楷体" w:cs="楷体" w:hint="eastAsia"/>
          <w:b w:val="0"/>
          <w:i w:val="0"/>
          <w:sz w:val="21"/>
        </w:rPr>
        <w:t>）。铌精矿品位由传统工艺的</w:t>
      </w:r>
      <w:r>
        <w:rPr>
          <w:rFonts w:ascii="Times New Roman" w:eastAsia="楷体" w:hAnsi="Times New Roman" w:cs="Times New Roman" w:hint="default"/>
          <w:b w:val="0"/>
          <w:i w:val="0"/>
          <w:sz w:val="21"/>
        </w:rPr>
        <w:t>5%～8%</w:t>
      </w:r>
      <w:r>
        <w:rPr>
          <w:rFonts w:ascii="楷体" w:eastAsia="楷体" w:hAnsi="楷体" w:cs="楷体" w:hint="eastAsia"/>
          <w:b w:val="0"/>
          <w:i w:val="0"/>
          <w:sz w:val="21"/>
        </w:rPr>
        <w:t>提高到</w:t>
      </w:r>
      <w:r>
        <w:rPr>
          <w:rFonts w:ascii="Times New Roman" w:eastAsia="楷体" w:hAnsi="Times New Roman" w:cs="Times New Roman" w:hint="default"/>
          <w:b w:val="0"/>
          <w:i w:val="0"/>
          <w:sz w:val="21"/>
        </w:rPr>
        <w:t>17%</w:t>
      </w:r>
      <w:r>
        <w:rPr>
          <w:rFonts w:ascii="楷体" w:eastAsia="楷体" w:hAnsi="楷体" w:cs="楷体" w:hint="eastAsia"/>
          <w:b w:val="0"/>
          <w:i w:val="0"/>
          <w:sz w:val="21"/>
        </w:rPr>
        <w:t>，回收率从</w:t>
      </w:r>
      <w:r>
        <w:rPr>
          <w:rFonts w:ascii="Times New Roman" w:eastAsia="楷体" w:hAnsi="Times New Roman" w:cs="Times New Roman" w:hint="default"/>
          <w:b w:val="0"/>
          <w:i w:val="0"/>
          <w:sz w:val="21"/>
        </w:rPr>
        <w:t>20%</w:t>
      </w:r>
      <w:r>
        <w:rPr>
          <w:rFonts w:ascii="楷体" w:eastAsia="楷体" w:hAnsi="楷体" w:cs="楷体" w:hint="eastAsia"/>
          <w:b w:val="0"/>
          <w:i w:val="0"/>
          <w:sz w:val="21"/>
        </w:rPr>
        <w:t>提高到</w:t>
      </w:r>
      <w:r>
        <w:rPr>
          <w:rFonts w:ascii="Times New Roman" w:eastAsia="楷体" w:hAnsi="Times New Roman" w:cs="Times New Roman" w:hint="default"/>
          <w:b w:val="0"/>
          <w:i w:val="0"/>
          <w:sz w:val="21"/>
        </w:rPr>
        <w:t>50%</w:t>
      </w:r>
      <w:r>
        <w:rPr>
          <w:rFonts w:ascii="楷体" w:eastAsia="楷体" w:hAnsi="楷体" w:cs="楷体" w:hint="eastAsia"/>
          <w:b w:val="0"/>
          <w:i w:val="0"/>
          <w:sz w:val="21"/>
        </w:rPr>
        <w:t>，新增可利用铌资源</w:t>
      </w:r>
      <w:r>
        <w:rPr>
          <w:rFonts w:ascii="Times New Roman" w:eastAsia="楷体" w:hAnsi="Times New Roman" w:cs="Times New Roman" w:hint="default"/>
          <w:b w:val="0"/>
          <w:i w:val="0"/>
          <w:sz w:val="21"/>
        </w:rPr>
        <w:t>92.9</w:t>
      </w:r>
      <w:r>
        <w:rPr>
          <w:rFonts w:ascii="楷体" w:eastAsia="楷体" w:hAnsi="楷体" w:cs="楷体" w:hint="eastAsia"/>
          <w:b w:val="0"/>
          <w:i w:val="0"/>
          <w:sz w:val="21"/>
        </w:rPr>
        <w:t>万吨，同步分离提取各类伴生矿产，实现综合开发。</w:t>
      </w:r>
    </w:p>
    <w:p w14:paraId="133389B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5019675" cy="113919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13"/>
                    <a:stretch>
                      <a:fillRect/>
                    </a:stretch>
                  </pic:blipFill>
                  <pic:spPr>
                    <a:xfrm>
                      <a:off x="0" y="0"/>
                      <a:ext cx="5019675" cy="1139414"/>
                    </a:xfrm>
                    <a:prstGeom prst="rect">
                      <a:avLst/>
                    </a:prstGeom>
                  </pic:spPr>
                </pic:pic>
              </a:graphicData>
            </a:graphic>
          </wp:inline>
        </w:drawing>
      </w:r>
    </w:p>
    <w:p w14:paraId="158385D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1</w:t>
      </w:r>
      <w:r>
        <w:rPr>
          <w:rFonts w:ascii="宋体" w:eastAsia="宋体" w:hAnsi="宋体" w:cs="宋体" w:hint="eastAsia"/>
          <w:b w:val="0"/>
          <w:i w:val="0"/>
          <w:sz w:val="21"/>
        </w:rPr>
        <w:t>）指出我国高端铌金属供应安全面临的主要风险。（</w:t>
      </w:r>
      <w:r>
        <w:rPr>
          <w:rFonts w:ascii="Times New Roman" w:eastAsia="宋体" w:hAnsi="Times New Roman" w:cs="Times New Roman" w:hint="default"/>
          <w:b w:val="0"/>
          <w:i w:val="0"/>
          <w:sz w:val="21"/>
        </w:rPr>
        <w:t>4</w:t>
      </w:r>
      <w:r>
        <w:rPr>
          <w:rFonts w:ascii="宋体" w:eastAsia="宋体" w:hAnsi="宋体" w:cs="宋体" w:hint="eastAsia"/>
          <w:b w:val="0"/>
          <w:i w:val="0"/>
          <w:sz w:val="21"/>
        </w:rPr>
        <w:t>分）</w:t>
      </w:r>
    </w:p>
    <w:p w14:paraId="2F1FAE8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2</w:t>
      </w:r>
      <w:r>
        <w:rPr>
          <w:rFonts w:ascii="宋体" w:eastAsia="宋体" w:hAnsi="宋体" w:cs="宋体" w:hint="eastAsia"/>
          <w:b w:val="0"/>
          <w:i w:val="0"/>
          <w:sz w:val="21"/>
        </w:rPr>
        <w:t>）说明采用新工艺开发铌矿资源对保障国家安全的意义。（</w:t>
      </w:r>
      <w:r>
        <w:rPr>
          <w:rFonts w:ascii="Times New Roman" w:eastAsia="宋体" w:hAnsi="Times New Roman" w:cs="Times New Roman" w:hint="default"/>
          <w:b w:val="0"/>
          <w:i w:val="0"/>
          <w:sz w:val="21"/>
        </w:rPr>
        <w:t>6</w:t>
      </w:r>
      <w:r>
        <w:rPr>
          <w:rFonts w:ascii="宋体" w:eastAsia="宋体" w:hAnsi="宋体" w:cs="宋体" w:hint="eastAsia"/>
          <w:b w:val="0"/>
          <w:i w:val="0"/>
          <w:sz w:val="21"/>
        </w:rPr>
        <w:t>分）</w:t>
      </w:r>
    </w:p>
    <w:bookmarkEnd w:id="4"/>
    <w:p w14:paraId="3B60382F">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bookmarkStart w:id="5" w:name="page_6"/>
      <w:r>
        <w:rPr>
          <w:rFonts w:ascii="Times New Roman" w:eastAsia="宋体" w:hAnsi="Times New Roman" w:cs="Times New Roman" w:hint="default"/>
          <w:b w:val="0"/>
          <w:i w:val="0"/>
          <w:sz w:val="21"/>
        </w:rPr>
        <w:t>26</w:t>
      </w:r>
      <w:r>
        <w:rPr>
          <w:rFonts w:ascii="宋体" w:eastAsia="宋体" w:hAnsi="宋体" w:cs="宋体" w:hint="eastAsia"/>
          <w:b w:val="0"/>
          <w:i w:val="0"/>
          <w:sz w:val="21"/>
          <w:lang w:eastAsia="zh-CN"/>
        </w:rPr>
        <w:t>．</w:t>
      </w:r>
      <w:r>
        <w:rPr>
          <w:rFonts w:ascii="宋体" w:eastAsia="宋体" w:hAnsi="宋体" w:cs="宋体" w:hint="eastAsia"/>
          <w:b w:val="0"/>
          <w:i w:val="0"/>
          <w:sz w:val="21"/>
        </w:rPr>
        <w:t>阅读图文材料，完成下列要求。（</w:t>
      </w:r>
      <w:r>
        <w:rPr>
          <w:rFonts w:ascii="Times New Roman" w:eastAsia="宋体" w:hAnsi="Times New Roman" w:cs="Times New Roman" w:hint="default"/>
          <w:b w:val="0"/>
          <w:i w:val="0"/>
          <w:sz w:val="21"/>
        </w:rPr>
        <w:t>16</w:t>
      </w:r>
      <w:r>
        <w:rPr>
          <w:rFonts w:ascii="宋体" w:eastAsia="宋体" w:hAnsi="宋体" w:cs="宋体" w:hint="eastAsia"/>
          <w:b w:val="0"/>
          <w:i w:val="0"/>
          <w:sz w:val="21"/>
        </w:rPr>
        <w:t>分）</w:t>
      </w:r>
    </w:p>
    <w:p w14:paraId="6C868FD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宋体" w:eastAsia="宋体" w:hAnsi="宋体" w:cs="宋体" w:hint="eastAsia"/>
          <w:b w:val="0"/>
          <w:i w:val="0"/>
          <w:sz w:val="21"/>
        </w:rPr>
      </w:pPr>
      <w:r>
        <w:rPr>
          <w:rFonts w:ascii="楷体" w:eastAsia="楷体" w:hAnsi="楷体" w:cs="楷体" w:hint="eastAsia"/>
          <w:b w:val="0"/>
          <w:i w:val="0"/>
          <w:sz w:val="21"/>
        </w:rPr>
        <w:t>长征渠引水工程（图</w:t>
      </w:r>
      <w:r>
        <w:rPr>
          <w:rFonts w:ascii="Times New Roman" w:eastAsia="楷体" w:hAnsi="Times New Roman" w:cs="Times New Roman" w:hint="default"/>
          <w:b w:val="0"/>
          <w:i w:val="0"/>
          <w:sz w:val="21"/>
        </w:rPr>
        <w:t>10</w:t>
      </w:r>
      <w:r>
        <w:rPr>
          <w:rFonts w:ascii="楷体" w:eastAsia="楷体" w:hAnsi="楷体" w:cs="楷体" w:hint="eastAsia"/>
          <w:b w:val="0"/>
          <w:i w:val="0"/>
          <w:sz w:val="21"/>
        </w:rPr>
        <w:t>）是川渝共建、服务成渝地区双城经济圈的国家水网骨干工程，计划</w:t>
      </w:r>
      <w:r>
        <w:rPr>
          <w:rFonts w:ascii="Times New Roman" w:eastAsia="楷体" w:hAnsi="Times New Roman" w:cs="Times New Roman" w:hint="default"/>
          <w:b w:val="0"/>
          <w:i w:val="0"/>
          <w:sz w:val="21"/>
        </w:rPr>
        <w:t>2027</w:t>
      </w:r>
      <w:r>
        <w:rPr>
          <w:rFonts w:ascii="楷体" w:eastAsia="楷体" w:hAnsi="楷体" w:cs="楷体" w:hint="eastAsia"/>
          <w:b w:val="0"/>
          <w:i w:val="0"/>
          <w:sz w:val="21"/>
        </w:rPr>
        <w:t>年开工、</w:t>
      </w:r>
      <w:r>
        <w:rPr>
          <w:rFonts w:ascii="Times New Roman" w:eastAsia="楷体" w:hAnsi="Times New Roman" w:cs="Times New Roman" w:hint="default"/>
          <w:b w:val="0"/>
          <w:i w:val="0"/>
          <w:sz w:val="21"/>
        </w:rPr>
        <w:t>2032</w:t>
      </w:r>
      <w:r>
        <w:rPr>
          <w:rFonts w:ascii="楷体" w:eastAsia="楷体" w:hAnsi="楷体" w:cs="楷体" w:hint="eastAsia"/>
          <w:b w:val="0"/>
          <w:i w:val="0"/>
          <w:sz w:val="21"/>
        </w:rPr>
        <w:t>年建成。该供水工程选取水质佳、水量大的青衣江、大渡河作为取水水源，采用“双水源调度”模式（连通两处独立水源地，形成可互为备用、调度灵活的供水体系）。输水线路总长逾</w:t>
      </w:r>
      <w:r>
        <w:rPr>
          <w:rFonts w:ascii="Times New Roman" w:eastAsia="楷体" w:hAnsi="Times New Roman" w:cs="Times New Roman" w:hint="default"/>
          <w:b w:val="0"/>
          <w:i w:val="0"/>
          <w:sz w:val="21"/>
        </w:rPr>
        <w:t>1600</w:t>
      </w:r>
      <w:r>
        <w:rPr>
          <w:rFonts w:ascii="楷体" w:eastAsia="楷体" w:hAnsi="楷体" w:cs="楷体" w:hint="eastAsia"/>
          <w:b w:val="0"/>
          <w:i w:val="0"/>
          <w:sz w:val="21"/>
        </w:rPr>
        <w:t>千米，穿越多条河流及复杂地形区，工程勘探建设、生态补偿与环境治理等需多方协同统筹。工程惠及川渝</w:t>
      </w:r>
      <w:r>
        <w:rPr>
          <w:rFonts w:ascii="Times New Roman" w:eastAsia="楷体" w:hAnsi="Times New Roman" w:cs="Times New Roman" w:hint="default"/>
          <w:b w:val="0"/>
          <w:i w:val="0"/>
          <w:sz w:val="21"/>
        </w:rPr>
        <w:t>42</w:t>
      </w:r>
      <w:r>
        <w:rPr>
          <w:rFonts w:ascii="楷体" w:eastAsia="楷体" w:hAnsi="楷体" w:cs="楷体" w:hint="eastAsia"/>
          <w:b w:val="0"/>
          <w:i w:val="0"/>
          <w:sz w:val="21"/>
        </w:rPr>
        <w:t>个县（区），供水人口约</w:t>
      </w:r>
      <w:r>
        <w:rPr>
          <w:rFonts w:ascii="Times New Roman" w:eastAsia="楷体" w:hAnsi="Times New Roman" w:cs="Times New Roman" w:hint="default"/>
          <w:b w:val="0"/>
          <w:i w:val="0"/>
          <w:sz w:val="21"/>
        </w:rPr>
        <w:t>1900</w:t>
      </w:r>
      <w:r>
        <w:rPr>
          <w:rFonts w:ascii="楷体" w:eastAsia="楷体" w:hAnsi="楷体" w:cs="楷体" w:hint="eastAsia"/>
          <w:b w:val="0"/>
          <w:i w:val="0"/>
          <w:sz w:val="21"/>
        </w:rPr>
        <w:t>万，灌溉面积</w:t>
      </w:r>
      <w:r>
        <w:rPr>
          <w:rFonts w:ascii="Times New Roman" w:eastAsia="楷体" w:hAnsi="Times New Roman" w:cs="Times New Roman" w:hint="default"/>
          <w:b w:val="0"/>
          <w:i w:val="0"/>
          <w:sz w:val="21"/>
        </w:rPr>
        <w:t>1400</w:t>
      </w:r>
      <w:r>
        <w:rPr>
          <w:rFonts w:ascii="楷体" w:eastAsia="楷体" w:hAnsi="楷体" w:cs="楷体" w:hint="eastAsia"/>
          <w:b w:val="0"/>
          <w:i w:val="0"/>
          <w:sz w:val="21"/>
        </w:rPr>
        <w:t>万亩。工程建成后，将有力支撑区域高质量发展。</w:t>
      </w:r>
    </w:p>
    <w:p w14:paraId="0B349E27">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3486150" cy="232981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xmlns:r="http://schemas.openxmlformats.org/officeDocument/2006/relationships" r:embed="rId14"/>
                    <a:stretch>
                      <a:fillRect/>
                    </a:stretch>
                  </pic:blipFill>
                  <pic:spPr>
                    <a:xfrm>
                      <a:off x="0" y="0"/>
                      <a:ext cx="3486150" cy="2329887"/>
                    </a:xfrm>
                    <a:prstGeom prst="rect">
                      <a:avLst/>
                    </a:prstGeom>
                  </pic:spPr>
                </pic:pic>
              </a:graphicData>
            </a:graphic>
          </wp:inline>
        </w:drawing>
      </w:r>
    </w:p>
    <w:p w14:paraId="521F2F1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1</w:t>
      </w:r>
      <w:r>
        <w:rPr>
          <w:rFonts w:ascii="宋体" w:eastAsia="宋体" w:hAnsi="宋体" w:cs="宋体" w:hint="eastAsia"/>
          <w:b w:val="0"/>
          <w:i w:val="0"/>
          <w:sz w:val="21"/>
        </w:rPr>
        <w:t>）从水资源角度，分析长征渠引水工程规划建设并采用“双水源调度”模式的原因。（</w:t>
      </w:r>
      <w:r>
        <w:rPr>
          <w:rFonts w:ascii="Times New Roman" w:eastAsia="宋体" w:hAnsi="Times New Roman" w:cs="Times New Roman" w:hint="default"/>
          <w:b w:val="0"/>
          <w:i w:val="0"/>
          <w:sz w:val="21"/>
        </w:rPr>
        <w:t>6</w:t>
      </w:r>
      <w:r>
        <w:rPr>
          <w:rFonts w:ascii="宋体" w:eastAsia="宋体" w:hAnsi="宋体" w:cs="宋体" w:hint="eastAsia"/>
          <w:b w:val="0"/>
          <w:i w:val="0"/>
          <w:sz w:val="21"/>
        </w:rPr>
        <w:t>分）</w:t>
      </w:r>
    </w:p>
    <w:p w14:paraId="0F65381B">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2</w:t>
      </w:r>
      <w:r>
        <w:rPr>
          <w:rFonts w:ascii="宋体" w:eastAsia="宋体" w:hAnsi="宋体" w:cs="宋体" w:hint="eastAsia"/>
          <w:b w:val="0"/>
          <w:i w:val="0"/>
          <w:sz w:val="21"/>
        </w:rPr>
        <w:t>）分析长征渠引水工程需多方协同统筹实现流域内协调发展的原因。（</w:t>
      </w:r>
      <w:r>
        <w:rPr>
          <w:rFonts w:ascii="Times New Roman" w:eastAsia="宋体" w:hAnsi="Times New Roman" w:cs="Times New Roman" w:hint="default"/>
          <w:b w:val="0"/>
          <w:i w:val="0"/>
          <w:sz w:val="21"/>
        </w:rPr>
        <w:t>6</w:t>
      </w:r>
      <w:r>
        <w:rPr>
          <w:rFonts w:ascii="宋体" w:eastAsia="宋体" w:hAnsi="宋体" w:cs="宋体" w:hint="eastAsia"/>
          <w:b w:val="0"/>
          <w:i w:val="0"/>
          <w:sz w:val="21"/>
        </w:rPr>
        <w:t>分）</w:t>
      </w:r>
    </w:p>
    <w:p w14:paraId="73D97789">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3</w:t>
      </w:r>
      <w:r>
        <w:rPr>
          <w:rFonts w:ascii="宋体" w:eastAsia="宋体" w:hAnsi="宋体" w:cs="宋体" w:hint="eastAsia"/>
          <w:b w:val="0"/>
          <w:i w:val="0"/>
          <w:sz w:val="21"/>
        </w:rPr>
        <w:t>）引水工程建成后，对保障城市与工业用水、农业灌溉用水带来影响，将有力支撑区域高质量发展。请从保障城市与工业用水、农业灌溉用水中任选一个角度，加以说明。（</w:t>
      </w:r>
      <w:r>
        <w:rPr>
          <w:rFonts w:ascii="Times New Roman" w:eastAsia="宋体" w:hAnsi="Times New Roman" w:cs="Times New Roman" w:hint="default"/>
          <w:b w:val="0"/>
          <w:i w:val="0"/>
          <w:sz w:val="21"/>
        </w:rPr>
        <w:t>4</w:t>
      </w:r>
      <w:r>
        <w:rPr>
          <w:rFonts w:ascii="宋体" w:eastAsia="宋体" w:hAnsi="宋体" w:cs="宋体" w:hint="eastAsia"/>
          <w:b w:val="0"/>
          <w:i w:val="0"/>
          <w:sz w:val="21"/>
        </w:rPr>
        <w:t>分）</w:t>
      </w:r>
    </w:p>
    <w:bookmarkEnd w:id="5"/>
    <w:p w14:paraId="6ACAF9BA">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bookmarkStart w:id="6" w:name="page_7"/>
      <w:r>
        <w:rPr>
          <w:rFonts w:ascii="Times New Roman" w:eastAsia="宋体" w:hAnsi="Times New Roman" w:cs="Times New Roman" w:hint="default"/>
          <w:b w:val="0"/>
          <w:i w:val="0"/>
          <w:sz w:val="21"/>
        </w:rPr>
        <w:t>27</w:t>
      </w:r>
      <w:r>
        <w:rPr>
          <w:rFonts w:ascii="宋体" w:eastAsia="宋体" w:hAnsi="宋体" w:cs="宋体" w:hint="eastAsia"/>
          <w:b w:val="0"/>
          <w:i w:val="0"/>
          <w:sz w:val="21"/>
        </w:rPr>
        <w:t>．阅读图文材料，完成下列要求。（</w:t>
      </w:r>
      <w:r>
        <w:rPr>
          <w:rFonts w:ascii="Times New Roman" w:eastAsia="宋体" w:hAnsi="Times New Roman" w:cs="Times New Roman" w:hint="default"/>
          <w:b w:val="0"/>
          <w:i w:val="0"/>
          <w:sz w:val="21"/>
        </w:rPr>
        <w:t>13</w:t>
      </w:r>
      <w:r>
        <w:rPr>
          <w:rFonts w:ascii="宋体" w:eastAsia="宋体" w:hAnsi="宋体" w:cs="宋体" w:hint="eastAsia"/>
          <w:b w:val="0"/>
          <w:i w:val="0"/>
          <w:sz w:val="21"/>
        </w:rPr>
        <w:t>分）</w:t>
      </w:r>
    </w:p>
    <w:p w14:paraId="2803DDD0">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建国初期，因建设需求伊春成为我国重要的木材生产基地。</w:t>
      </w:r>
      <w:r>
        <w:rPr>
          <w:rFonts w:ascii="Times New Roman" w:eastAsia="楷体" w:hAnsi="Times New Roman" w:cs="Times New Roman" w:hint="default"/>
          <w:b w:val="0"/>
          <w:i w:val="0"/>
          <w:sz w:val="21"/>
        </w:rPr>
        <w:t>20</w:t>
      </w:r>
      <w:r>
        <w:rPr>
          <w:rFonts w:ascii="楷体" w:eastAsia="楷体" w:hAnsi="楷体" w:cs="楷体" w:hint="eastAsia"/>
          <w:b w:val="0"/>
          <w:i w:val="0"/>
          <w:sz w:val="21"/>
        </w:rPr>
        <w:t>世纪</w:t>
      </w:r>
      <w:r>
        <w:rPr>
          <w:rFonts w:ascii="Times New Roman" w:eastAsia="楷体" w:hAnsi="Times New Roman" w:cs="Times New Roman" w:hint="default"/>
          <w:b w:val="0"/>
          <w:i w:val="0"/>
          <w:sz w:val="21"/>
        </w:rPr>
        <w:t>80</w:t>
      </w:r>
      <w:r>
        <w:rPr>
          <w:rFonts w:ascii="楷体" w:eastAsia="楷体" w:hAnsi="楷体" w:cs="楷体" w:hint="eastAsia"/>
          <w:b w:val="0"/>
          <w:i w:val="0"/>
          <w:sz w:val="21"/>
        </w:rPr>
        <w:t>年代末，伊春林区陷入“资源危机、经济危困”的“两危”局面。</w:t>
      </w:r>
      <w:r>
        <w:rPr>
          <w:rFonts w:ascii="Times New Roman" w:eastAsia="楷体" w:hAnsi="Times New Roman" w:cs="Times New Roman" w:hint="default"/>
          <w:b w:val="0"/>
          <w:i w:val="0"/>
          <w:sz w:val="21"/>
        </w:rPr>
        <w:t>2000</w:t>
      </w:r>
      <w:r>
        <w:rPr>
          <w:rFonts w:ascii="楷体" w:eastAsia="楷体" w:hAnsi="楷体" w:cs="楷体" w:hint="eastAsia"/>
          <w:b w:val="0"/>
          <w:i w:val="0"/>
          <w:sz w:val="21"/>
        </w:rPr>
        <w:t>年国家启动天然林保护工程（简称“天保”工程），生态效益日益显著。</w:t>
      </w:r>
      <w:r>
        <w:rPr>
          <w:rFonts w:ascii="Times New Roman" w:eastAsia="楷体" w:hAnsi="Times New Roman" w:cs="Times New Roman" w:hint="default"/>
          <w:b w:val="0"/>
          <w:i w:val="0"/>
          <w:sz w:val="21"/>
        </w:rPr>
        <w:t>2014</w:t>
      </w:r>
      <w:r>
        <w:rPr>
          <w:rFonts w:ascii="楷体" w:eastAsia="楷体" w:hAnsi="楷体" w:cs="楷体" w:hint="eastAsia"/>
          <w:b w:val="0"/>
          <w:i w:val="0"/>
          <w:sz w:val="21"/>
        </w:rPr>
        <w:t>年伊春全面停止天然林商业性采伐，大量采伐工人转岗管护森林。当地立足森林生态禀赋，调整产业结构，推动林区由伐木经济向生态经济转型。图</w:t>
      </w:r>
      <w:r>
        <w:rPr>
          <w:rFonts w:ascii="Times New Roman" w:eastAsia="楷体" w:hAnsi="Times New Roman" w:cs="Times New Roman" w:hint="default"/>
          <w:b w:val="0"/>
          <w:i w:val="0"/>
          <w:sz w:val="21"/>
        </w:rPr>
        <w:t>11</w:t>
      </w:r>
      <w:r>
        <w:rPr>
          <w:rFonts w:ascii="楷体" w:eastAsia="楷体" w:hAnsi="楷体" w:cs="楷体" w:hint="eastAsia"/>
          <w:b w:val="0"/>
          <w:i w:val="0"/>
          <w:sz w:val="21"/>
        </w:rPr>
        <w:t>示意伊春的地理位置。</w:t>
      </w:r>
    </w:p>
    <w:p w14:paraId="09B4B9A4">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drawing>
          <wp:inline distT="0" distB="0" distL="114300" distR="114300">
            <wp:extent cx="2981325" cy="358203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xmlns:r="http://schemas.openxmlformats.org/officeDocument/2006/relationships" r:embed="rId15"/>
                    <a:stretch>
                      <a:fillRect/>
                    </a:stretch>
                  </pic:blipFill>
                  <pic:spPr>
                    <a:xfrm>
                      <a:off x="0" y="0"/>
                      <a:ext cx="2981325" cy="3582455"/>
                    </a:xfrm>
                    <a:prstGeom prst="rect">
                      <a:avLst/>
                    </a:prstGeom>
                  </pic:spPr>
                </pic:pic>
              </a:graphicData>
            </a:graphic>
          </wp:inline>
        </w:drawing>
      </w:r>
    </w:p>
    <w:p w14:paraId="79F777AE">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1</w:t>
      </w:r>
      <w:r>
        <w:rPr>
          <w:rFonts w:ascii="宋体" w:eastAsia="宋体" w:hAnsi="宋体" w:cs="宋体" w:hint="eastAsia"/>
          <w:b w:val="0"/>
          <w:i w:val="0"/>
          <w:sz w:val="21"/>
        </w:rPr>
        <w:t>）指出伊春成为我国重要的木材生产基地的区位条件。（</w:t>
      </w:r>
      <w:r>
        <w:rPr>
          <w:rFonts w:ascii="Times New Roman" w:eastAsia="宋体" w:hAnsi="Times New Roman" w:cs="Times New Roman" w:hint="default"/>
          <w:b w:val="0"/>
          <w:i w:val="0"/>
          <w:sz w:val="21"/>
        </w:rPr>
        <w:t>4</w:t>
      </w:r>
      <w:r>
        <w:rPr>
          <w:rFonts w:ascii="宋体" w:eastAsia="宋体" w:hAnsi="宋体" w:cs="宋体" w:hint="eastAsia"/>
          <w:b w:val="0"/>
          <w:i w:val="0"/>
          <w:sz w:val="21"/>
        </w:rPr>
        <w:t>分）</w:t>
      </w:r>
    </w:p>
    <w:p w14:paraId="32C43456">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2</w:t>
      </w:r>
      <w:r>
        <w:rPr>
          <w:rFonts w:ascii="宋体" w:eastAsia="宋体" w:hAnsi="宋体" w:cs="宋体" w:hint="eastAsia"/>
          <w:b w:val="0"/>
          <w:i w:val="0"/>
          <w:sz w:val="21"/>
        </w:rPr>
        <w:t>）说明“天保”工程实施后对伊春生态环境产生的有利影响。（</w:t>
      </w:r>
      <w:r>
        <w:rPr>
          <w:rFonts w:ascii="Times New Roman" w:eastAsia="宋体" w:hAnsi="Times New Roman" w:cs="Times New Roman" w:hint="default"/>
          <w:b w:val="0"/>
          <w:i w:val="0"/>
          <w:sz w:val="21"/>
        </w:rPr>
        <w:t>6</w:t>
      </w:r>
      <w:r>
        <w:rPr>
          <w:rFonts w:ascii="宋体" w:eastAsia="宋体" w:hAnsi="宋体" w:cs="宋体" w:hint="eastAsia"/>
          <w:b w:val="0"/>
          <w:i w:val="0"/>
          <w:sz w:val="21"/>
        </w:rPr>
        <w:t>分）</w:t>
      </w:r>
    </w:p>
    <w:p w14:paraId="7C716B15">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3</w:t>
      </w:r>
      <w:r>
        <w:rPr>
          <w:rFonts w:ascii="宋体" w:eastAsia="宋体" w:hAnsi="宋体" w:cs="宋体" w:hint="eastAsia"/>
          <w:b w:val="0"/>
          <w:i w:val="0"/>
          <w:sz w:val="21"/>
        </w:rPr>
        <w:t>）立足伊春森林生态禀赋，提出伊春市产业结构优化升级的方向。（</w:t>
      </w:r>
      <w:r>
        <w:rPr>
          <w:rFonts w:ascii="Times New Roman" w:eastAsia="宋体" w:hAnsi="Times New Roman" w:cs="Times New Roman" w:hint="default"/>
          <w:b w:val="0"/>
          <w:i w:val="0"/>
          <w:sz w:val="21"/>
        </w:rPr>
        <w:t>3</w:t>
      </w:r>
      <w:r>
        <w:rPr>
          <w:rFonts w:ascii="宋体" w:eastAsia="宋体" w:hAnsi="宋体" w:cs="宋体" w:hint="eastAsia"/>
          <w:b w:val="0"/>
          <w:i w:val="0"/>
          <w:sz w:val="21"/>
        </w:rPr>
        <w:t>分）</w:t>
      </w:r>
    </w:p>
    <w:bookmarkEnd w:id="6"/>
    <w:p w14:paraId="43346DC3">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Times New Roman" w:eastAsia="宋体" w:hAnsi="Times New Roman" w:cs="Times New Roman" w:hint="default"/>
          <w:b w:val="0"/>
          <w:i w:val="0"/>
          <w:sz w:val="21"/>
        </w:rPr>
        <w:t>28</w:t>
      </w:r>
      <w:r>
        <w:rPr>
          <w:rFonts w:ascii="宋体" w:eastAsia="宋体" w:hAnsi="宋体" w:cs="宋体" w:hint="eastAsia"/>
          <w:b w:val="0"/>
          <w:i w:val="0"/>
          <w:sz w:val="21"/>
          <w:lang w:eastAsia="zh-CN"/>
        </w:rPr>
        <w:t>．</w:t>
      </w:r>
      <w:r>
        <w:rPr>
          <w:rFonts w:ascii="宋体" w:eastAsia="宋体" w:hAnsi="宋体" w:cs="宋体" w:hint="eastAsia"/>
          <w:b w:val="0"/>
          <w:i w:val="0"/>
          <w:sz w:val="21"/>
        </w:rPr>
        <w:t>阅读图文资料，完成下列要求。（</w:t>
      </w:r>
      <w:r>
        <w:rPr>
          <w:rFonts w:ascii="Times New Roman" w:eastAsia="宋体" w:hAnsi="Times New Roman" w:cs="Times New Roman" w:hint="default"/>
          <w:b w:val="0"/>
          <w:i w:val="0"/>
          <w:sz w:val="21"/>
        </w:rPr>
        <w:t>13</w:t>
      </w:r>
      <w:r>
        <w:rPr>
          <w:rFonts w:ascii="宋体" w:eastAsia="宋体" w:hAnsi="宋体" w:cs="宋体" w:hint="eastAsia"/>
          <w:b w:val="0"/>
          <w:i w:val="0"/>
          <w:sz w:val="21"/>
        </w:rPr>
        <w:t>分）</w:t>
      </w:r>
    </w:p>
    <w:p w14:paraId="709BA529">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宋体" w:eastAsia="宋体" w:hAnsi="宋体" w:cs="宋体" w:hint="eastAsia"/>
          <w:b/>
          <w:bCs/>
          <w:i w:val="0"/>
          <w:sz w:val="21"/>
        </w:rPr>
        <w:t>【研学背景】</w:t>
      </w:r>
      <w:r>
        <w:rPr>
          <w:rFonts w:ascii="楷体" w:eastAsia="楷体" w:hAnsi="楷体" w:cs="楷体" w:hint="eastAsia"/>
          <w:b w:val="0"/>
          <w:i w:val="0"/>
          <w:sz w:val="21"/>
        </w:rPr>
        <w:t>泉州某中学组织学生前往江西景德镇与福建德化开展“探寻千年瓷都，对话闽赣产业”主题研学活动。同学们发现，作为中国陶瓷界的双子星，景德镇与德化呈现出截然不同的发展路径。</w:t>
      </w:r>
    </w:p>
    <w:p w14:paraId="141B2B1E">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宋体" w:eastAsia="宋体" w:hAnsi="宋体" w:cs="宋体" w:hint="eastAsia"/>
          <w:b/>
          <w:bCs/>
          <w:i w:val="0"/>
          <w:sz w:val="21"/>
        </w:rPr>
      </w:pPr>
      <w:r>
        <w:rPr>
          <w:rFonts w:ascii="宋体" w:eastAsia="宋体" w:hAnsi="宋体" w:cs="宋体" w:hint="eastAsia"/>
          <w:b/>
          <w:bCs/>
          <w:i w:val="0"/>
          <w:sz w:val="21"/>
        </w:rPr>
        <w:t>【研学见闻一：德化的“白色世界”】</w:t>
      </w:r>
    </w:p>
    <w:p w14:paraId="66DB5801">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第一站来到德化。这里瓷土资源丰富，以日用瓷、西洋工艺瓷为主，数字化、智能化制造程度高，产品远销欧美及东南亚，是全球最大的工艺瓷生产和出口基地。但当地企业也坦言，虽然产量大，但多为贴牌生产，利润微薄，且面临劳动力成本上升的压力。</w:t>
      </w:r>
    </w:p>
    <w:p w14:paraId="6D597C3D">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1</w:t>
      </w:r>
      <w:r>
        <w:rPr>
          <w:rFonts w:ascii="宋体" w:eastAsia="宋体" w:hAnsi="宋体" w:cs="宋体" w:hint="eastAsia"/>
          <w:b w:val="0"/>
          <w:i w:val="0"/>
          <w:sz w:val="21"/>
        </w:rPr>
        <w:t>）分析德化陶瓷产业利润微薄现象产生的原因，需要从产业区位条件角度展开调查，请你拟定一份调查内容清单。（列举</w:t>
      </w:r>
      <w:r>
        <w:rPr>
          <w:rFonts w:ascii="Times New Roman" w:eastAsia="宋体" w:hAnsi="Times New Roman" w:cs="Times New Roman" w:hint="default"/>
          <w:b w:val="0"/>
          <w:i w:val="0"/>
          <w:sz w:val="21"/>
        </w:rPr>
        <w:t>3</w:t>
      </w:r>
      <w:r>
        <w:rPr>
          <w:rFonts w:ascii="宋体" w:eastAsia="宋体" w:hAnsi="宋体" w:cs="宋体" w:hint="eastAsia"/>
          <w:b w:val="0"/>
          <w:i w:val="0"/>
          <w:sz w:val="21"/>
        </w:rPr>
        <w:t>项）（</w:t>
      </w:r>
      <w:r>
        <w:rPr>
          <w:rFonts w:ascii="Times New Roman" w:eastAsia="宋体" w:hAnsi="Times New Roman" w:cs="Times New Roman" w:hint="default"/>
          <w:b w:val="0"/>
          <w:i w:val="0"/>
          <w:sz w:val="21"/>
        </w:rPr>
        <w:t>3</w:t>
      </w:r>
      <w:r>
        <w:rPr>
          <w:rFonts w:ascii="宋体" w:eastAsia="宋体" w:hAnsi="宋体" w:cs="宋体" w:hint="eastAsia"/>
          <w:b w:val="0"/>
          <w:i w:val="0"/>
          <w:sz w:val="21"/>
        </w:rPr>
        <w:t>分）</w:t>
      </w:r>
    </w:p>
    <w:p w14:paraId="781608B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宋体" w:eastAsia="宋体" w:hAnsi="宋体" w:cs="宋体" w:hint="eastAsia"/>
          <w:b/>
          <w:bCs/>
          <w:i w:val="0"/>
          <w:sz w:val="21"/>
        </w:rPr>
        <w:t>【研学见闻二：景德镇的“景漂”生态】</w:t>
      </w:r>
    </w:p>
    <w:p w14:paraId="607A8252">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第二站来到景德镇。这里曾因瓷土枯竭而衰落，后来踏上转型发展的新路，景德镇已转型为以艺术瓷、高端定制瓷和文旅体验为主的文化创意中心。这里有陶瓷文化遗址、陶瓷研究所、陶瓷大学和众多工艺大师、科研人员，聚集了数万名来自世界各地的艺术家、设计师（被称为“景漂”），是我国独有的充满陶瓷文化艺术气息的城市。</w:t>
      </w:r>
    </w:p>
    <w:p w14:paraId="182291E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r>
        <w:rPr>
          <w:rFonts w:ascii="楷体" w:eastAsia="楷体" w:hAnsi="楷体" w:cs="楷体" w:hint="eastAsia"/>
          <w:b w:val="0"/>
          <w:i w:val="0"/>
          <w:sz w:val="21"/>
        </w:rPr>
        <w:t>研学小组走访了陶溪川文创街区的“景漂”，他们利用当地灵活的供应链（如公共窑炉、小批量泥料采购）进行创作。研学小组围绕“景德镇产业发展对人才集聚的影响”调查主题，对“景漂”开展访谈调查。</w:t>
      </w:r>
    </w:p>
    <w:p w14:paraId="7D7A9B3C">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2</w:t>
      </w:r>
      <w:r>
        <w:rPr>
          <w:rFonts w:ascii="宋体" w:eastAsia="宋体" w:hAnsi="宋体" w:cs="宋体" w:hint="eastAsia"/>
          <w:b w:val="0"/>
          <w:i w:val="0"/>
          <w:sz w:val="21"/>
        </w:rPr>
        <w:t>）请结合调查主题完成访谈调查表的设计。（</w:t>
      </w:r>
      <w:r>
        <w:rPr>
          <w:rFonts w:ascii="Times New Roman" w:eastAsia="宋体" w:hAnsi="Times New Roman" w:cs="Times New Roman" w:hint="default"/>
          <w:b w:val="0"/>
          <w:i w:val="0"/>
          <w:sz w:val="21"/>
        </w:rPr>
        <w:t>4</w:t>
      </w:r>
      <w:r>
        <w:rPr>
          <w:rFonts w:ascii="宋体" w:eastAsia="宋体" w:hAnsi="宋体" w:cs="宋体" w:hint="eastAsia"/>
          <w:b w:val="0"/>
          <w:i w:val="0"/>
          <w:sz w:val="21"/>
        </w:rPr>
        <w:t>分）</w:t>
      </w:r>
    </w:p>
    <w:tbl>
      <w:tblPr>
        <w:tblStyle w:val="TableNormal"/>
        <w:tblW w:w="4798"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5503"/>
        <w:gridCol w:w="4074"/>
      </w:tblGrid>
      <w:tr w14:paraId="730DFCAA">
        <w:tblPrEx>
          <w:tblW w:w="4798"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rPr>
          <w:tblHeader/>
        </w:trPr>
        <w:tc>
          <w:tcPr>
            <w:tcW w:w="5000" w:type="pct"/>
            <w:gridSpan w:val="2"/>
            <w:noWrap w:val="0"/>
            <w:tcMar>
              <w:top w:w="120" w:type="dxa"/>
              <w:left w:w="120" w:type="dxa"/>
              <w:bottom w:w="120" w:type="dxa"/>
              <w:right w:w="120" w:type="dxa"/>
            </w:tcMar>
            <w:vAlign w:val="center"/>
          </w:tcPr>
          <w:p w14:paraId="1018E91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宋体" w:eastAsia="宋体" w:hAnsi="宋体" w:cs="宋体" w:hint="eastAsia"/>
                <w:b/>
                <w:bCs/>
                <w:i w:val="0"/>
                <w:sz w:val="21"/>
              </w:rPr>
            </w:pPr>
            <w:r>
              <w:rPr>
                <w:rFonts w:ascii="宋体" w:eastAsia="宋体" w:hAnsi="宋体" w:cs="宋体" w:hint="eastAsia"/>
                <w:b/>
                <w:bCs/>
                <w:i w:val="0"/>
                <w:sz w:val="21"/>
              </w:rPr>
              <w:t>“景德镇产业发展对人才集聚的影响”访谈调查表</w:t>
            </w:r>
          </w:p>
        </w:tc>
      </w:tr>
      <w:tr w14:paraId="5A7FE918">
        <w:tblPrEx>
          <w:tblW w:w="4798"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08AF2FF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访谈问题</w:t>
            </w:r>
          </w:p>
        </w:tc>
        <w:tc>
          <w:tcPr>
            <w:tcW w:w="2127" w:type="pct"/>
            <w:noWrap w:val="0"/>
            <w:tcMar>
              <w:top w:w="120" w:type="dxa"/>
              <w:left w:w="120" w:type="dxa"/>
              <w:bottom w:w="120" w:type="dxa"/>
              <w:right w:w="120" w:type="dxa"/>
            </w:tcMar>
            <w:vAlign w:val="center"/>
          </w:tcPr>
          <w:p w14:paraId="5364B33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调查目的</w:t>
            </w:r>
          </w:p>
        </w:tc>
      </w:tr>
      <w:tr w14:paraId="70DE6735">
        <w:tblPrEx>
          <w:tblW w:w="4798"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005835F7">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“请问您当初选择来到景德镇，而不是其他陶瓷产区（如德化、潮州）的最主要原因是什么？”</w:t>
            </w:r>
          </w:p>
        </w:tc>
        <w:tc>
          <w:tcPr>
            <w:tcW w:w="2127" w:type="pct"/>
            <w:noWrap w:val="0"/>
            <w:tcMar>
              <w:top w:w="120" w:type="dxa"/>
              <w:left w:w="120" w:type="dxa"/>
              <w:bottom w:w="120" w:type="dxa"/>
              <w:right w:w="120" w:type="dxa"/>
            </w:tcMar>
            <w:vAlign w:val="center"/>
          </w:tcPr>
          <w:p w14:paraId="29FA7E5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①</w:t>
            </w:r>
          </w:p>
        </w:tc>
      </w:tr>
      <w:tr w14:paraId="051D5C1A">
        <w:tblPrEx>
          <w:tblW w:w="4798"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527B54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②</w:t>
            </w:r>
          </w:p>
        </w:tc>
        <w:tc>
          <w:tcPr>
            <w:tcW w:w="2127" w:type="pct"/>
            <w:noWrap w:val="0"/>
            <w:tcMar>
              <w:top w:w="120" w:type="dxa"/>
              <w:left w:w="120" w:type="dxa"/>
              <w:bottom w:w="120" w:type="dxa"/>
              <w:right w:w="120" w:type="dxa"/>
            </w:tcMar>
            <w:vAlign w:val="center"/>
          </w:tcPr>
          <w:p w14:paraId="707A5705">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探究完善的产业协作配套（如供应链、科研实力）对创意人才集聚的支撑作用。</w:t>
            </w:r>
          </w:p>
        </w:tc>
      </w:tr>
      <w:tr w14:paraId="5B9E4791">
        <w:tblPrEx>
          <w:tblW w:w="4798"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5508F4ED">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“您认为景德镇城市产业转型、城市包容性和生活成本，是否有利于您长期在此进行艺术创作？”</w:t>
            </w:r>
          </w:p>
        </w:tc>
        <w:tc>
          <w:tcPr>
            <w:tcW w:w="2127" w:type="pct"/>
            <w:noWrap w:val="0"/>
            <w:tcMar>
              <w:top w:w="120" w:type="dxa"/>
              <w:left w:w="120" w:type="dxa"/>
              <w:bottom w:w="120" w:type="dxa"/>
              <w:right w:w="120" w:type="dxa"/>
            </w:tcMar>
            <w:vAlign w:val="center"/>
          </w:tcPr>
          <w:p w14:paraId="47FF158A">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调查城市产业转型、城市包容性和生活成本对留住创意阶层的影响。</w:t>
            </w:r>
          </w:p>
        </w:tc>
      </w:tr>
      <w:tr w14:paraId="467CD4B1">
        <w:tblPrEx>
          <w:tblW w:w="4798"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FC68F2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w:t>
            </w:r>
          </w:p>
        </w:tc>
        <w:tc>
          <w:tcPr>
            <w:tcW w:w="2127" w:type="pct"/>
            <w:noWrap w:val="0"/>
            <w:tcMar>
              <w:top w:w="120" w:type="dxa"/>
              <w:left w:w="120" w:type="dxa"/>
              <w:bottom w:w="120" w:type="dxa"/>
              <w:right w:w="120" w:type="dxa"/>
            </w:tcMar>
            <w:vAlign w:val="center"/>
          </w:tcPr>
          <w:p w14:paraId="5AB4BD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w:t>
            </w:r>
          </w:p>
        </w:tc>
      </w:tr>
    </w:tbl>
    <w:p w14:paraId="1801E7D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ascii="楷体" w:eastAsia="楷体" w:hAnsi="楷体" w:cs="楷体" w:hint="eastAsia"/>
          <w:b w:val="0"/>
          <w:i w:val="0"/>
          <w:sz w:val="21"/>
        </w:rPr>
      </w:pPr>
      <w:bookmarkStart w:id="7" w:name="_GoBack"/>
      <w:r>
        <w:rPr>
          <w:rFonts w:ascii="宋体" w:eastAsia="宋体" w:hAnsi="宋体" w:cs="宋体" w:hint="eastAsia"/>
          <w:b/>
          <w:bCs/>
          <w:i w:val="0"/>
          <w:sz w:val="21"/>
        </w:rPr>
        <w:t>【调查数据】</w:t>
      </w:r>
      <w:bookmarkEnd w:id="7"/>
      <w:r>
        <w:rPr>
          <w:rFonts w:ascii="楷体" w:eastAsia="楷体" w:hAnsi="楷体" w:cs="楷体" w:hint="eastAsia"/>
          <w:b w:val="0"/>
          <w:i w:val="0"/>
          <w:sz w:val="21"/>
        </w:rPr>
        <w:t>研学小组整理了两地陶瓷产业特征对比表。</w:t>
      </w:r>
    </w:p>
    <w:tbl>
      <w:tblPr>
        <w:tblStyle w:val="TableNormal"/>
        <w:tblW w:w="4867"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1306"/>
        <w:gridCol w:w="4338"/>
        <w:gridCol w:w="4071"/>
      </w:tblGrid>
      <w:tr w14:paraId="4631640E">
        <w:tblPrEx>
          <w:tblW w:w="4867"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rPr>
          <w:tblHeader/>
        </w:trPr>
        <w:tc>
          <w:tcPr>
            <w:noWrap w:val="0"/>
            <w:tcMar>
              <w:top w:w="120" w:type="dxa"/>
              <w:left w:w="120" w:type="dxa"/>
              <w:bottom w:w="120" w:type="dxa"/>
              <w:right w:w="120" w:type="dxa"/>
            </w:tcMar>
            <w:vAlign w:val="center"/>
          </w:tcPr>
          <w:p w14:paraId="051A1A8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宋体" w:eastAsia="宋体" w:hAnsi="宋体" w:cs="宋体" w:hint="eastAsia"/>
                <w:b/>
                <w:bCs/>
                <w:i w:val="0"/>
                <w:sz w:val="21"/>
              </w:rPr>
            </w:pPr>
            <w:r>
              <w:rPr>
                <w:rFonts w:ascii="宋体" w:eastAsia="宋体" w:hAnsi="宋体" w:cs="宋体" w:hint="eastAsia"/>
                <w:b/>
                <w:bCs/>
                <w:i w:val="0"/>
                <w:sz w:val="21"/>
              </w:rPr>
              <w:t>比较维度</w:t>
            </w:r>
          </w:p>
        </w:tc>
        <w:tc>
          <w:tcPr>
            <w:noWrap w:val="0"/>
            <w:tcMar>
              <w:top w:w="120" w:type="dxa"/>
              <w:left w:w="120" w:type="dxa"/>
              <w:bottom w:w="120" w:type="dxa"/>
              <w:right w:w="120" w:type="dxa"/>
            </w:tcMar>
            <w:vAlign w:val="center"/>
          </w:tcPr>
          <w:p w14:paraId="636BA8A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宋体" w:eastAsia="宋体" w:hAnsi="宋体" w:cs="宋体" w:hint="eastAsia"/>
                <w:b/>
                <w:bCs/>
                <w:i w:val="0"/>
                <w:sz w:val="21"/>
              </w:rPr>
            </w:pPr>
            <w:r>
              <w:rPr>
                <w:rFonts w:ascii="宋体" w:eastAsia="宋体" w:hAnsi="宋体" w:cs="宋体" w:hint="eastAsia"/>
                <w:b/>
                <w:bCs/>
                <w:i w:val="0"/>
                <w:sz w:val="21"/>
              </w:rPr>
              <w:t>景德镇</w:t>
            </w:r>
          </w:p>
        </w:tc>
        <w:tc>
          <w:tcPr>
            <w:tcW w:w="2095" w:type="pct"/>
            <w:noWrap w:val="0"/>
            <w:tcMar>
              <w:top w:w="120" w:type="dxa"/>
              <w:left w:w="120" w:type="dxa"/>
              <w:bottom w:w="120" w:type="dxa"/>
              <w:right w:w="120" w:type="dxa"/>
            </w:tcMar>
            <w:vAlign w:val="center"/>
          </w:tcPr>
          <w:p w14:paraId="0A4E65A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宋体" w:eastAsia="宋体" w:hAnsi="宋体" w:cs="宋体" w:hint="eastAsia"/>
                <w:b/>
                <w:bCs/>
                <w:i w:val="0"/>
                <w:sz w:val="21"/>
              </w:rPr>
            </w:pPr>
            <w:r>
              <w:rPr>
                <w:rFonts w:ascii="宋体" w:eastAsia="宋体" w:hAnsi="宋体" w:cs="宋体" w:hint="eastAsia"/>
                <w:b/>
                <w:bCs/>
                <w:i w:val="0"/>
                <w:sz w:val="21"/>
              </w:rPr>
              <w:t>德化</w:t>
            </w:r>
          </w:p>
        </w:tc>
      </w:tr>
      <w:tr w14:paraId="60036673">
        <w:tblPrEx>
          <w:tblW w:w="4867"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C648A3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主导产品</w:t>
            </w:r>
          </w:p>
        </w:tc>
        <w:tc>
          <w:tcPr>
            <w:noWrap w:val="0"/>
            <w:tcMar>
              <w:top w:w="120" w:type="dxa"/>
              <w:left w:w="120" w:type="dxa"/>
              <w:bottom w:w="120" w:type="dxa"/>
              <w:right w:w="120" w:type="dxa"/>
            </w:tcMar>
            <w:vAlign w:val="center"/>
          </w:tcPr>
          <w:p w14:paraId="3FEBF086">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艺术瓷、高端陈设瓷、文创产品</w:t>
            </w:r>
          </w:p>
        </w:tc>
        <w:tc>
          <w:tcPr>
            <w:tcW w:w="2095" w:type="pct"/>
            <w:noWrap w:val="0"/>
            <w:tcMar>
              <w:top w:w="120" w:type="dxa"/>
              <w:left w:w="120" w:type="dxa"/>
              <w:bottom w:w="120" w:type="dxa"/>
              <w:right w:w="120" w:type="dxa"/>
            </w:tcMar>
            <w:vAlign w:val="center"/>
          </w:tcPr>
          <w:p w14:paraId="2EBCEB8B">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日用瓷（茶具、餐具）、西洋工艺瓷</w:t>
            </w:r>
          </w:p>
        </w:tc>
      </w:tr>
      <w:tr w14:paraId="231EAD7C">
        <w:tblPrEx>
          <w:tblW w:w="4867"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5FC4F7DF">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生产方式</w:t>
            </w:r>
          </w:p>
        </w:tc>
        <w:tc>
          <w:tcPr>
            <w:noWrap w:val="0"/>
            <w:tcMar>
              <w:top w:w="120" w:type="dxa"/>
              <w:left w:w="120" w:type="dxa"/>
              <w:bottom w:w="120" w:type="dxa"/>
              <w:right w:w="120" w:type="dxa"/>
            </w:tcMar>
            <w:vAlign w:val="center"/>
          </w:tcPr>
          <w:p w14:paraId="43ACC029">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手工拉坯、手绘为主，个性化强</w:t>
            </w:r>
          </w:p>
        </w:tc>
        <w:tc>
          <w:tcPr>
            <w:tcW w:w="2095" w:type="pct"/>
            <w:noWrap w:val="0"/>
            <w:tcMar>
              <w:top w:w="120" w:type="dxa"/>
              <w:left w:w="120" w:type="dxa"/>
              <w:bottom w:w="120" w:type="dxa"/>
              <w:right w:w="120" w:type="dxa"/>
            </w:tcMar>
            <w:vAlign w:val="center"/>
          </w:tcPr>
          <w:p w14:paraId="5768B942">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机器注浆、贴花为主，批量化大</w:t>
            </w:r>
          </w:p>
        </w:tc>
      </w:tr>
      <w:tr w14:paraId="63F1DC4E">
        <w:tblPrEx>
          <w:tblW w:w="4867"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9C1E35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原料来源</w:t>
            </w:r>
          </w:p>
        </w:tc>
        <w:tc>
          <w:tcPr>
            <w:noWrap w:val="0"/>
            <w:tcMar>
              <w:top w:w="120" w:type="dxa"/>
              <w:left w:w="120" w:type="dxa"/>
              <w:bottom w:w="120" w:type="dxa"/>
              <w:right w:w="120" w:type="dxa"/>
            </w:tcMar>
            <w:vAlign w:val="center"/>
          </w:tcPr>
          <w:p w14:paraId="3897B0F4">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大量依赖外地（包括德化）输入</w:t>
            </w:r>
          </w:p>
        </w:tc>
        <w:tc>
          <w:tcPr>
            <w:tcW w:w="2095" w:type="pct"/>
            <w:noWrap w:val="0"/>
            <w:tcMar>
              <w:top w:w="120" w:type="dxa"/>
              <w:left w:w="120" w:type="dxa"/>
              <w:bottom w:w="120" w:type="dxa"/>
              <w:right w:w="120" w:type="dxa"/>
            </w:tcMar>
            <w:vAlign w:val="center"/>
          </w:tcPr>
          <w:p w14:paraId="67E3AD34">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本地及周边供应充足</w:t>
            </w:r>
          </w:p>
        </w:tc>
      </w:tr>
      <w:tr w14:paraId="5618B237">
        <w:tblPrEx>
          <w:tblW w:w="4867" w:type="pct"/>
          <w:tblInd w:w="128"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02E8B93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楷体" w:eastAsia="楷体" w:hAnsi="楷体" w:cs="楷体" w:hint="eastAsia"/>
                <w:b w:val="0"/>
                <w:i w:val="0"/>
                <w:sz w:val="21"/>
              </w:rPr>
            </w:pPr>
            <w:r>
              <w:rPr>
                <w:rFonts w:ascii="楷体" w:eastAsia="楷体" w:hAnsi="楷体" w:cs="楷体" w:hint="eastAsia"/>
                <w:b w:val="0"/>
                <w:i w:val="0"/>
                <w:sz w:val="21"/>
              </w:rPr>
              <w:t>市场导向</w:t>
            </w:r>
          </w:p>
        </w:tc>
        <w:tc>
          <w:tcPr>
            <w:noWrap w:val="0"/>
            <w:tcMar>
              <w:top w:w="120" w:type="dxa"/>
              <w:left w:w="120" w:type="dxa"/>
              <w:bottom w:w="120" w:type="dxa"/>
              <w:right w:w="120" w:type="dxa"/>
            </w:tcMar>
            <w:vAlign w:val="center"/>
          </w:tcPr>
          <w:p w14:paraId="1A762C53">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国内高端收藏、文旅体验、小众定制</w:t>
            </w:r>
          </w:p>
        </w:tc>
        <w:tc>
          <w:tcPr>
            <w:tcW w:w="2095" w:type="pct"/>
            <w:noWrap w:val="0"/>
            <w:tcMar>
              <w:top w:w="120" w:type="dxa"/>
              <w:left w:w="120" w:type="dxa"/>
              <w:bottom w:w="120" w:type="dxa"/>
              <w:right w:w="120" w:type="dxa"/>
            </w:tcMar>
            <w:vAlign w:val="center"/>
          </w:tcPr>
          <w:p w14:paraId="6B1DA30B">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ascii="楷体" w:eastAsia="楷体" w:hAnsi="楷体" w:cs="楷体" w:hint="eastAsia"/>
                <w:b w:val="0"/>
                <w:i w:val="0"/>
                <w:sz w:val="21"/>
              </w:rPr>
            </w:pPr>
            <w:r>
              <w:rPr>
                <w:rFonts w:ascii="楷体" w:eastAsia="楷体" w:hAnsi="楷体" w:cs="楷体" w:hint="eastAsia"/>
                <w:b w:val="0"/>
                <w:i w:val="0"/>
                <w:sz w:val="21"/>
              </w:rPr>
              <w:t>国际大众消费、国内电商批发</w:t>
            </w:r>
          </w:p>
        </w:tc>
      </w:tr>
    </w:tbl>
    <w:p w14:paraId="7D1C6A86">
      <w:pPr>
        <w:keepLines w:val="0"/>
        <w:pageBreakBefore w:val="0"/>
        <w:widowControl/>
        <w:kinsoku/>
        <w:wordWrap/>
        <w:overflowPunct/>
        <w:topLinePunct w:val="0"/>
        <w:autoSpaceDE/>
        <w:autoSpaceDN/>
        <w:bidi w:val="0"/>
        <w:adjustRightInd/>
        <w:snapToGrid/>
        <w:spacing w:line="360" w:lineRule="auto"/>
        <w:textAlignment w:val="auto"/>
        <w:rPr>
          <w:rFonts w:ascii="宋体" w:eastAsia="宋体" w:hAnsi="宋体" w:cs="宋体" w:hint="eastAsia"/>
          <w:b w:val="0"/>
          <w:i w:val="0"/>
          <w:sz w:val="21"/>
        </w:rPr>
      </w:pPr>
      <w:r>
        <w:rPr>
          <w:rFonts w:ascii="宋体" w:eastAsia="宋体" w:hAnsi="宋体" w:cs="宋体" w:hint="eastAsia"/>
          <w:b w:val="0"/>
          <w:i w:val="0"/>
          <w:sz w:val="21"/>
        </w:rPr>
        <w:t>（</w:t>
      </w:r>
      <w:r>
        <w:rPr>
          <w:rFonts w:ascii="Times New Roman" w:eastAsia="宋体" w:hAnsi="Times New Roman" w:cs="Times New Roman" w:hint="default"/>
          <w:b w:val="0"/>
          <w:i w:val="0"/>
          <w:sz w:val="21"/>
        </w:rPr>
        <w:t>3</w:t>
      </w:r>
      <w:r>
        <w:rPr>
          <w:rFonts w:ascii="宋体" w:eastAsia="宋体" w:hAnsi="宋体" w:cs="宋体" w:hint="eastAsia"/>
          <w:b w:val="0"/>
          <w:i w:val="0"/>
          <w:sz w:val="21"/>
        </w:rPr>
        <w:t>）有专家在研学总结会上提出：“未来景德镇和德化的竞争将逐渐转化为互补。”请结合两地产业特征，从产业链、市场、技术等角度，论证这一观点的合理性。（</w:t>
      </w:r>
      <w:r>
        <w:rPr>
          <w:rFonts w:ascii="Times New Roman" w:eastAsia="宋体" w:hAnsi="Times New Roman" w:cs="Times New Roman" w:hint="default"/>
          <w:b w:val="0"/>
          <w:i w:val="0"/>
          <w:sz w:val="21"/>
        </w:rPr>
        <w:t>6</w:t>
      </w:r>
      <w:r>
        <w:rPr>
          <w:rFonts w:ascii="宋体" w:eastAsia="宋体" w:hAnsi="宋体" w:cs="宋体" w:hint="eastAsia"/>
          <w:b w:val="0"/>
          <w:i w:val="0"/>
          <w:sz w:val="21"/>
        </w:rPr>
        <w:t>分）</w:t>
      </w:r>
    </w:p>
    <w:sectPr>
      <w:headerReference w:type="default" r:id="rId16"/>
      <w:footerReference w:type="default" r:id="rId17"/>
      <w:pgSz w:w="11906" w:h="16838"/>
      <w:pgMar w:top="1440" w:right="1083" w:bottom="1440" w:left="1083"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jc w:val="left"/>
      <w:rPr>
        <w:rFonts w:eastAsia="宋体"/>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eastAsia="宋体"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jc w:val="both"/>
      <w:rPr>
        <w:rFonts w:eastAsia="宋体"/>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efaultTabStop w:val="720"/>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4151FC"/>
    <w:rsid w:val="00A77B3E"/>
    <w:rsid w:val="00C02FC6"/>
    <w:rsid w:val="00CA2A55"/>
    <w:rsid w:val="2AA1453F"/>
    <w:rsid w:val="2CFA2429"/>
    <w:rsid w:val="2D6F57F1"/>
    <w:rsid w:val="2EB85D4C"/>
    <w:rsid w:val="38C407A7"/>
    <w:rsid w:val="494539E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imes New Roman" w:eastAsia="Times New Roman" w:hAnsi="Times New Roman" w:cs="Times New Roman"/>
      <w:sz w:val="24"/>
      <w:szCs w:val="24"/>
      <w:lang w:val="en-US" w:eastAsia="en-US" w:bidi="ar-SA"/>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Char">
    <w:name w:val="页眉 Char"/>
    <w:link w:val="Header"/>
    <w:uiPriority w:val="99"/>
    <w:semiHidden/>
    <w:rPr>
      <w:rFonts w:eastAsia="宋体"/>
      <w:sz w:val="18"/>
      <w:szCs w:val="18"/>
      <w:lang w:eastAsia="zh-CN"/>
    </w:rPr>
  </w:style>
  <w:style w:type="paragraph" w:styleId="Footer">
    <w:name w:val="footer"/>
    <w:basedOn w:val="Normal"/>
    <w:link w:val="Char0"/>
    <w:uiPriority w:val="99"/>
    <w:unhideWhenUsed/>
    <w:pPr>
      <w:widowControl w:val="0"/>
      <w:tabs>
        <w:tab w:val="center" w:pos="4153"/>
        <w:tab w:val="right" w:pos="8306"/>
      </w:tabs>
      <w:snapToGrid w:val="0"/>
    </w:pPr>
    <w:rPr>
      <w:rFonts w:eastAsia="宋体"/>
      <w:sz w:val="18"/>
      <w:szCs w:val="18"/>
      <w:lang w:eastAsia="zh-CN"/>
    </w:rPr>
  </w:style>
  <w:style w:type="character" w:customStyle="1" w:styleId="Char0">
    <w:name w:val="页脚 Char"/>
    <w:link w:val="Footer"/>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header" Target="header1.xm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6</TotalTime>
  <Pages>9</Pages>
  <Words>4900</Words>
  <Characters>5087</Characters>
  <Application>Microsoft Office Word</Application>
  <DocSecurity>0</DocSecurity>
  <Lines>1</Lines>
  <Paragraphs>1</Paragraphs>
  <ScaleCrop>false</ScaleCrop>
  <Company/>
  <LinksUpToDate>false</LinksUpToDate>
  <CharactersWithSpaces>5168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Gin</cp:lastModifiedBy>
  <cp:revision>1</cp:revision>
  <dcterms:created xsi:type="dcterms:W3CDTF">2026-07-09T11:25:00Z</dcterms:created>
  <dcterms:modified xsi:type="dcterms:W3CDTF">2026-07-09T14:17:13Z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