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Purpose and Scope</w:t>
      </w:r>
    </w:p>
    <w:p>
      <w:r>
        <w:t xml:space="preserve">This plan covers change management for the Meridian S/4HANA rollout across Finance, Procurement and Logistics. It is reviewed weekly at the Thursday cadence.</w:t>
      </w:r>
    </w:p>
    <w:p>
      <w:pPr>
        <w:pStyle w:val="Heading1"/>
      </w:pPr>
      <w:r>
        <w:t xml:space="preserve">Stakeholder Engagement</w:t>
      </w:r>
    </w:p>
    <w:p>
      <w:r>
        <w:t xml:space="preserve">Change network stands at 14 named champions across 6 sites. Site 6 (Porto) has no champion and recruitment is with the site lead.</w:t>
      </w:r>
    </w:p>
    <w:p>
      <w:pPr>
        <w:pStyle w:val="Heading1"/>
      </w:pPr>
      <w:r>
        <w:t xml:space="preserve">Communications</w:t>
      </w:r>
    </w:p>
    <w:p>
      <w:r>
        <w:t xml:space="preserve">Wave 1 go-live comms drafted and with the sponsor for review. Intranet hub is live.</w:t>
      </w:r>
    </w:p>
    <w:p>
      <w:pPr>
        <w:pStyle w:val="Heading1"/>
      </w:pPr>
      <w:r>
        <w:t xml:space="preserve">Risks and Issues</w:t>
      </w:r>
    </w:p>
    <w:p>
      <w:r>
        <w:t xml:space="preserve">Top risk remains Logistics super-user availability during peak season; mitigation under discussion with the Ops director.</w:t>
      </w:r>
    </w:p>
    <w:p>
      <w:pPr>
        <w:pStyle w:val="Heading1"/>
      </w:pPr>
      <w:r>
        <w:t xml:space="preserve">Activity Schedule</w:t>
      </w:r>
    </w:p>
    <w:tbl>
      <w:tblPr>
        <w:tblW w:w="0" w:type="auto"/>
      </w:tblPr>
      <w:tr>
        <w:tc>
          <w:tcPr>
            <w:tcW w:w="2000" w:type="dxa"/>
          </w:tcPr>
          <w:p>
            <w:r>
              <w:t xml:space="preserve">Activity ID</w:t>
            </w:r>
          </w:p>
        </w:tc>
        <w:tc>
          <w:tcPr>
            <w:tcW w:w="2000" w:type="dxa"/>
          </w:tcPr>
          <w:p>
            <w:r>
              <w:t xml:space="preserve">Activity</w:t>
            </w:r>
          </w:p>
        </w:tc>
        <w:tc>
          <w:tcPr>
            <w:tcW w:w="2000" w:type="dxa"/>
          </w:tcPr>
          <w:p>
            <w:r>
              <w:t xml:space="preserve">Owner</w:t>
            </w:r>
          </w:p>
        </w:tc>
        <w:tc>
          <w:tcPr>
            <w:tcW w:w="2000" w:type="dxa"/>
          </w:tcPr>
          <w:p>
            <w:r>
              <w:t xml:space="preserve">Status</w:t>
            </w:r>
          </w:p>
        </w:tc>
        <w:tc>
          <w:tcPr>
            <w:tcW w:w="2000" w:type="dxa"/>
          </w:tcPr>
          <w:p>
            <w:r>
              <w:t xml:space="preserve">Due Date</w:t>
            </w:r>
          </w:p>
        </w:tc>
      </w:tr>
      <w:tr>
        <w:tc>
          <w:tcPr>
            <w:tcW w:w="2000" w:type="dxa"/>
          </w:tcPr>
          <w:p>
            <w:r>
              <w:t xml:space="preserve">CM-01</w:t>
            </w:r>
          </w:p>
        </w:tc>
        <w:tc>
          <w:tcPr>
            <w:tcW w:w="2000" w:type="dxa"/>
          </w:tcPr>
          <w:p>
            <w:r>
              <w:t xml:space="preserve">Change impact assessment - Finance</w:t>
            </w:r>
          </w:p>
        </w:tc>
        <w:tc>
          <w:tcPr>
            <w:tcW w:w="2000" w:type="dxa"/>
          </w:tcPr>
          <w:p>
            <w:r>
              <w:t xml:space="preserve">R. Iyer</w:t>
            </w:r>
          </w:p>
        </w:tc>
        <w:tc>
          <w:tcPr>
            <w:tcW w:w="2000" w:type="dxa"/>
          </w:tcPr>
          <w:p>
            <w:r>
              <w:t xml:space="preserve">Complete</w:t>
            </w:r>
          </w:p>
        </w:tc>
        <w:tc>
          <w:tcPr>
            <w:tcW w:w="2000" w:type="dxa"/>
          </w:tcPr>
          <w:p>
            <w:r>
              <w:t xml:space="preserve">2026-07-31</w:t>
            </w:r>
          </w:p>
        </w:tc>
      </w:tr>
      <w:tr>
        <w:tc>
          <w:tcPr>
            <w:tcW w:w="2000" w:type="dxa"/>
          </w:tcPr>
          <w:p>
            <w:r>
              <w:t xml:space="preserve">CM-02</w:t>
            </w:r>
          </w:p>
        </w:tc>
        <w:tc>
          <w:tcPr>
            <w:tcW w:w="2000" w:type="dxa"/>
          </w:tcPr>
          <w:p>
            <w:r>
              <w:t xml:space="preserve">Change impact assessment - Logistics</w:t>
            </w:r>
          </w:p>
        </w:tc>
        <w:tc>
          <w:tcPr>
            <w:tcW w:w="2000" w:type="dxa"/>
          </w:tcPr>
          <w:p>
            <w:r>
              <w:t xml:space="preserve">R. Iyer</w:t>
            </w:r>
          </w:p>
        </w:tc>
        <w:tc>
          <w:tcPr>
            <w:tcW w:w="2000" w:type="dxa"/>
          </w:tcPr>
          <w:p>
            <w:r>
              <w:t xml:space="preserve">In Progress</w:t>
            </w:r>
          </w:p>
        </w:tc>
        <w:tc>
          <w:tcPr>
            <w:tcW w:w="2000" w:type="dxa"/>
          </w:tcPr>
          <w:p>
            <w:r>
              <w:t xml:space="preserve">2026-08-21</w:t>
            </w:r>
          </w:p>
        </w:tc>
      </w:tr>
      <w:tr>
        <w:tc>
          <w:tcPr>
            <w:tcW w:w="2000" w:type="dxa"/>
          </w:tcPr>
          <w:p>
            <w:r>
              <w:t xml:space="preserve">CM-03</w:t>
            </w:r>
          </w:p>
        </w:tc>
        <w:tc>
          <w:tcPr>
            <w:tcW w:w="2000" w:type="dxa"/>
          </w:tcPr>
          <w:p>
            <w:r>
              <w:t xml:space="preserve">Champion network stand-up</w:t>
            </w:r>
          </w:p>
        </w:tc>
        <w:tc>
          <w:tcPr>
            <w:tcW w:w="2000" w:type="dxa"/>
          </w:tcPr>
          <w:p>
            <w:r>
              <w:t xml:space="preserve">S. Brandt</w:t>
            </w:r>
          </w:p>
        </w:tc>
        <w:tc>
          <w:tcPr>
            <w:tcW w:w="2000" w:type="dxa"/>
          </w:tcPr>
          <w:p>
            <w:r>
              <w:t xml:space="preserve">In Progress</w:t>
            </w:r>
          </w:p>
        </w:tc>
        <w:tc>
          <w:tcPr>
            <w:tcW w:w="2000" w:type="dxa"/>
          </w:tcPr>
          <w:p>
            <w:r>
              <w:t xml:space="preserve">2026-08-28</w:t>
            </w:r>
          </w:p>
        </w:tc>
      </w:tr>
      <w:tr>
        <w:tc>
          <w:tcPr>
            <w:tcW w:w="2000" w:type="dxa"/>
          </w:tcPr>
          <w:p>
            <w:r>
              <w:t xml:space="preserve">CM-04</w:t>
            </w:r>
          </w:p>
        </w:tc>
        <w:tc>
          <w:tcPr>
            <w:tcW w:w="2000" w:type="dxa"/>
          </w:tcPr>
          <w:p>
            <w:r>
              <w:t xml:space="preserve">Go-live comms pack</w:t>
            </w:r>
          </w:p>
        </w:tc>
        <w:tc>
          <w:tcPr>
            <w:tcW w:w="2000" w:type="dxa"/>
          </w:tcPr>
          <w:p>
            <w:r>
              <w:t xml:space="preserve">S. Brandt</w:t>
            </w:r>
          </w:p>
        </w:tc>
        <w:tc>
          <w:tcPr>
            <w:tcW w:w="2000" w:type="dxa"/>
          </w:tcPr>
          <w:p>
            <w:r>
              <w:t xml:space="preserve">In Progress</w:t>
            </w:r>
          </w:p>
        </w:tc>
        <w:tc>
          <w:tcPr>
            <w:tcW w:w="2000" w:type="dxa"/>
          </w:tcPr>
          <w:p>
            <w:r>
              <w:t xml:space="preserve">2026-09-04</w:t>
            </w:r>
          </w:p>
        </w:tc>
      </w:tr>
      <w:tr>
        <w:tc>
          <w:tcPr>
            <w:tcW w:w="2000" w:type="dxa"/>
          </w:tcPr>
          <w:p>
            <w:r>
              <w:t xml:space="preserve">CM-05</w:t>
            </w:r>
          </w:p>
        </w:tc>
        <w:tc>
          <w:tcPr>
            <w:tcW w:w="2000" w:type="dxa"/>
          </w:tcPr>
          <w:p>
            <w:r>
              <w:t xml:space="preserve">Training needs analysis - Wave 2</w:t>
            </w:r>
          </w:p>
        </w:tc>
        <w:tc>
          <w:tcPr>
            <w:tcW w:w="2000" w:type="dxa"/>
          </w:tcPr>
          <w:p>
            <w:r>
              <w:t xml:space="preserve">R. Iyer</w:t>
            </w:r>
          </w:p>
        </w:tc>
        <w:tc>
          <w:tcPr>
            <w:tcW w:w="2000" w:type="dxa"/>
          </w:tcPr>
          <w:p>
            <w:r>
              <w:t xml:space="preserve">Not Started</w:t>
            </w:r>
          </w:p>
        </w:tc>
        <w:tc>
          <w:tcPr>
            <w:tcW w:w="2000" w:type="dxa"/>
          </w:tcPr>
          <w:p>
            <w:r>
              <w:t xml:space="preserve">2026-09-18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