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Purpose and Scope</w:t>
      </w:r>
    </w:p>
    <w:p>
      <w:r>
        <w:t xml:space="preserve">This plan covers change management for the Meridian S/4HANA rollout across Finance, Procurement and Logistics. It is reviewed weekly at the Thursday cadence.</w:t>
      </w:r>
    </w:p>
    <w:p>
      <w:pPr>
        <w:pStyle w:val="Heading1"/>
      </w:pPr>
      <w:r>
        <w:t xml:space="preserve">Stakeholder Engagement</w:t>
      </w:r>
    </w:p>
    <w:p>
      <w:r>
        <w:t xml:space="preserve">Change network stands at 16 named champions across 6 sites. Porto has appointed a champion; all sites are now covered.</w:t>
      </w:r>
    </w:p>
    <w:p>
      <w:pPr>
        <w:pStyle w:val="Heading1"/>
      </w:pPr>
      <w:r>
        <w:t xml:space="preserve">Communications</w:t>
      </w:r>
    </w:p>
    <w:p>
      <w:r>
        <w:t xml:space="preserve">Wave 1 go-live comms approved by the sponsor. Intranet hub is live. First countdown mailer scheduled for 1 September.</w:t>
      </w:r>
    </w:p>
    <w:p>
      <w:pPr>
        <w:pStyle w:val="Heading1"/>
      </w:pPr>
      <w:r>
        <w:t xml:space="preserve">Risks and Issues</w:t>
      </w:r>
    </w:p>
    <w:p>
      <w:r>
        <w:t xml:space="preserve">Logistics super-user availability is now escalated to the steering committee after the Ops director declined to backfill during peak season. A second risk has opened on master data readiness following the Week 12 data audit.</w:t>
      </w:r>
    </w:p>
    <w:p>
      <w:pPr>
        <w:pStyle w:val="Heading1"/>
      </w:pPr>
      <w:r>
        <w:t xml:space="preserve">Activity Schedule</w:t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Activity ID</w:t>
            </w:r>
          </w:p>
        </w:tc>
        <w:tc>
          <w:tcPr>
            <w:tcW w:w="2000" w:type="dxa"/>
          </w:tcPr>
          <w:p>
            <w:r>
              <w:t xml:space="preserve">Activity</w:t>
            </w:r>
          </w:p>
        </w:tc>
        <w:tc>
          <w:tcPr>
            <w:tcW w:w="2000" w:type="dxa"/>
          </w:tcPr>
          <w:p>
            <w:r>
              <w:t xml:space="preserve">Owner</w:t>
            </w:r>
          </w:p>
        </w:tc>
        <w:tc>
          <w:tcPr>
            <w:tcW w:w="2000" w:type="dxa"/>
          </w:tcPr>
          <w:p>
            <w:r>
              <w:t xml:space="preserve">Status</w:t>
            </w:r>
          </w:p>
        </w:tc>
        <w:tc>
          <w:tcPr>
            <w:tcW w:w="2000" w:type="dxa"/>
          </w:tcPr>
          <w:p>
            <w:r>
              <w:t xml:space="preserve">Due Date</w:t>
            </w:r>
          </w:p>
        </w:tc>
      </w:tr>
      <w:tr>
        <w:tc>
          <w:tcPr>
            <w:tcW w:w="2000" w:type="dxa"/>
          </w:tcPr>
          <w:p>
            <w:r>
              <w:t xml:space="preserve">CM-01</w:t>
            </w:r>
          </w:p>
        </w:tc>
        <w:tc>
          <w:tcPr>
            <w:tcW w:w="2000" w:type="dxa"/>
          </w:tcPr>
          <w:p>
            <w:r>
              <w:t xml:space="preserve">Change impact assessment - Finance</w:t>
            </w:r>
          </w:p>
        </w:tc>
        <w:tc>
          <w:tcPr>
            <w:tcW w:w="2000" w:type="dxa"/>
          </w:tcPr>
          <w:p>
            <w:r>
              <w:t xml:space="preserve">R. Iyer</w:t>
            </w:r>
          </w:p>
        </w:tc>
        <w:tc>
          <w:tcPr>
            <w:tcW w:w="2000" w:type="dxa"/>
          </w:tcPr>
          <w:p>
            <w:r>
              <w:t xml:space="preserve">Complete</w:t>
            </w:r>
          </w:p>
        </w:tc>
        <w:tc>
          <w:tcPr>
            <w:tcW w:w="2000" w:type="dxa"/>
          </w:tcPr>
          <w:p>
            <w:r>
              <w:t xml:space="preserve">2026-07-31</w:t>
            </w:r>
          </w:p>
        </w:tc>
      </w:tr>
      <w:tr>
        <w:tc>
          <w:tcPr>
            <w:tcW w:w="2000" w:type="dxa"/>
          </w:tcPr>
          <w:p>
            <w:r>
              <w:t xml:space="preserve">CM-02</w:t>
            </w:r>
          </w:p>
        </w:tc>
        <w:tc>
          <w:tcPr>
            <w:tcW w:w="2000" w:type="dxa"/>
          </w:tcPr>
          <w:p>
            <w:r>
              <w:t xml:space="preserve">Change impact assessment - Logistics</w:t>
            </w:r>
          </w:p>
        </w:tc>
        <w:tc>
          <w:tcPr>
            <w:tcW w:w="2000" w:type="dxa"/>
          </w:tcPr>
          <w:p>
            <w:r>
              <w:t xml:space="preserve">R. Iyer</w:t>
            </w:r>
          </w:p>
        </w:tc>
        <w:tc>
          <w:tcPr>
            <w:tcW w:w="2000" w:type="dxa"/>
          </w:tcPr>
          <w:p>
            <w:r>
              <w:t xml:space="preserve">Complete</w:t>
            </w:r>
          </w:p>
        </w:tc>
        <w:tc>
          <w:tcPr>
            <w:tcW w:w="2000" w:type="dxa"/>
          </w:tcPr>
          <w:p>
            <w:r>
              <w:t xml:space="preserve">2026-08-21</w:t>
            </w:r>
          </w:p>
        </w:tc>
      </w:tr>
      <w:tr>
        <w:tc>
          <w:tcPr>
            <w:tcW w:w="2000" w:type="dxa"/>
          </w:tcPr>
          <w:p>
            <w:r>
              <w:t xml:space="preserve">CM-03</w:t>
            </w:r>
          </w:p>
        </w:tc>
        <w:tc>
          <w:tcPr>
            <w:tcW w:w="2000" w:type="dxa"/>
          </w:tcPr>
          <w:p>
            <w:r>
              <w:t xml:space="preserve">Champion network stand-up</w:t>
            </w:r>
          </w:p>
        </w:tc>
        <w:tc>
          <w:tcPr>
            <w:tcW w:w="2000" w:type="dxa"/>
          </w:tcPr>
          <w:p>
            <w:r>
              <w:t xml:space="preserve">S. Brandt</w:t>
            </w:r>
          </w:p>
        </w:tc>
        <w:tc>
          <w:tcPr>
            <w:tcW w:w="2000" w:type="dxa"/>
          </w:tcPr>
          <w:p>
            <w:r>
              <w:t xml:space="preserve">Complete</w:t>
            </w:r>
          </w:p>
        </w:tc>
        <w:tc>
          <w:tcPr>
            <w:tcW w:w="2000" w:type="dxa"/>
          </w:tcPr>
          <w:p>
            <w:r>
              <w:t xml:space="preserve">2026-08-28</w:t>
            </w:r>
          </w:p>
        </w:tc>
      </w:tr>
      <w:tr>
        <w:tc>
          <w:tcPr>
            <w:tcW w:w="2000" w:type="dxa"/>
          </w:tcPr>
          <w:p>
            <w:r>
              <w:t xml:space="preserve">CM-04</w:t>
            </w:r>
          </w:p>
        </w:tc>
        <w:tc>
          <w:tcPr>
            <w:tcW w:w="2000" w:type="dxa"/>
          </w:tcPr>
          <w:p>
            <w:r>
              <w:t xml:space="preserve">Go-live comms pack</w:t>
            </w:r>
          </w:p>
        </w:tc>
        <w:tc>
          <w:tcPr>
            <w:tcW w:w="2000" w:type="dxa"/>
          </w:tcPr>
          <w:p>
            <w:r>
              <w:t xml:space="preserve">L. Haddad</w:t>
            </w:r>
          </w:p>
        </w:tc>
        <w:tc>
          <w:tcPr>
            <w:tcW w:w="2000" w:type="dxa"/>
          </w:tcPr>
          <w:p>
            <w:r>
              <w:t xml:space="preserve">In Progress</w:t>
            </w:r>
          </w:p>
        </w:tc>
        <w:tc>
          <w:tcPr>
            <w:tcW w:w="2000" w:type="dxa"/>
          </w:tcPr>
          <w:p>
            <w:r>
              <w:t xml:space="preserve">2026-09-11</w:t>
            </w:r>
          </w:p>
        </w:tc>
      </w:tr>
      <w:tr>
        <w:tc>
          <w:tcPr>
            <w:tcW w:w="2000" w:type="dxa"/>
          </w:tcPr>
          <w:p>
            <w:r>
              <w:t xml:space="preserve">CM-05</w:t>
            </w:r>
          </w:p>
        </w:tc>
        <w:tc>
          <w:tcPr>
            <w:tcW w:w="2000" w:type="dxa"/>
          </w:tcPr>
          <w:p>
            <w:r>
              <w:t xml:space="preserve">Training needs analysis - Wave 2</w:t>
            </w:r>
          </w:p>
        </w:tc>
        <w:tc>
          <w:tcPr>
            <w:tcW w:w="2000" w:type="dxa"/>
          </w:tcPr>
          <w:p>
            <w:r>
              <w:t xml:space="preserve">R. Iyer</w:t>
            </w:r>
          </w:p>
        </w:tc>
        <w:tc>
          <w:tcPr>
            <w:tcW w:w="2000" w:type="dxa"/>
          </w:tcPr>
          <w:p>
            <w:r>
              <w:t xml:space="preserve">In Progress</w:t>
            </w:r>
          </w:p>
        </w:tc>
        <w:tc>
          <w:tcPr>
            <w:tcW w:w="2000" w:type="dxa"/>
          </w:tcPr>
          <w:p>
            <w:r>
              <w:t xml:space="preserve">2026-09-18</w:t>
            </w:r>
          </w:p>
        </w:tc>
      </w:tr>
      <w:tr>
        <w:tc>
          <w:tcPr>
            <w:tcW w:w="2000" w:type="dxa"/>
          </w:tcPr>
          <w:p>
            <w:r>
              <w:t xml:space="preserve">CM-06</w:t>
            </w:r>
          </w:p>
        </w:tc>
        <w:tc>
          <w:tcPr>
            <w:tcW w:w="2000" w:type="dxa"/>
          </w:tcPr>
          <w:p>
            <w:r>
              <w:t xml:space="preserve">Master data readiness remediation</w:t>
            </w:r>
          </w:p>
        </w:tc>
        <w:tc>
          <w:tcPr>
            <w:tcW w:w="2000" w:type="dxa"/>
          </w:tcPr>
          <w:p>
            <w:r>
              <w:t xml:space="preserve">G. Novak</w:t>
            </w:r>
          </w:p>
        </w:tc>
        <w:tc>
          <w:tcPr>
            <w:tcW w:w="2000" w:type="dxa"/>
          </w:tcPr>
          <w:p>
            <w:r>
              <w:t xml:space="preserve">Not Started</w:t>
            </w:r>
          </w:p>
        </w:tc>
        <w:tc>
          <w:tcPr>
            <w:tcW w:w="2000" w:type="dxa"/>
          </w:tcPr>
          <w:p>
            <w:r>
              <w:t xml:space="preserve">2026-09-25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