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EXP0061 连续科研进展</w:t>
      </w:r>
    </w:p>
    <w:p>
      <w:r>
        <w:rPr>
          <w:rFonts w:ascii="微软雅黑" w:hAnsi="微软雅黑" w:eastAsia="微软雅黑"/>
        </w:rPr>
        <w:t>更新时间：2026-10-06T09:28:09</w:t>
      </w:r>
    </w:p>
    <w:p>
      <w:r>
        <w:rPr>
          <w:rFonts w:ascii="微软雅黑" w:hAnsi="微软雅黑" w:eastAsia="微软雅黑"/>
        </w:rPr>
        <w:t>本队列持续执行：实际训练 → 同场景评估 → 失败分型 → 登记下一轮。负结果不会被改写为成功。所有比较均为开发集探索，原密封测试不访问。</w:t>
      </w:r>
    </w:p>
    <w:p>
      <w:r>
        <w:rPr>
          <w:rFonts w:ascii="微软雅黑" w:hAnsi="微软雅黑" w:eastAsia="微软雅黑"/>
        </w:rPr>
        <w:t>当前阶段：registered_24_round_budget_completed；已登记轮次上限 24。09:00 生成阶段快照，不因单个实验结束而停止队列。</w:t>
      </w:r>
    </w:p>
    <w:p>
      <w:pPr>
        <w:pStyle w:val="Heading2"/>
      </w:pPr>
      <w:r>
        <w:rPr>
          <w:rFonts w:ascii="微软雅黑" w:hAnsi="微软雅黑" w:eastAsia="微软雅黑"/>
        </w:rPr>
        <w:t>已完成的上一轮诊断</w:t>
      </w:r>
    </w:p>
    <w:p>
      <w:r>
        <w:rPr>
          <w:rFonts w:ascii="微软雅黑" w:hAnsi="微软雅黑" w:eastAsia="微软雅黑"/>
        </w:rPr>
        <w:t>EXP0060 seed0 的 480 更新模型对传统追踪：Safe 同为 5/12；清除 97.92% vs 100%；壁接触 22.54 s vs .502 s。该模型未被接受为优于传统方法。</w:t>
      </w:r>
    </w:p>
    <w:p>
      <w:pPr>
        <w:pStyle w:val="Heading2"/>
      </w:pPr>
      <w:r>
        <w:rPr>
          <w:rFonts w:ascii="微软雅黑" w:hAnsi="微软雅黑" w:eastAsia="微软雅黑"/>
        </w:rPr>
        <w:t>实际学习方法</w:t>
      </w:r>
    </w:p>
    <w:p>
      <w:r>
        <w:rPr>
          <w:rFonts w:ascii="微软雅黑" w:hAnsi="微软雅黑" w:eastAsia="微软雅黑"/>
        </w:rPr>
        <w:t>GRU 历史编码 + 三成员动作条件观测/风险预测器 + PPO。预测器学习下一次测量变化和训练回报/接触事件；actor 只见测量历史和网络预测，不读取候选动作的真实仿真后果。</w:t>
      </w:r>
    </w:p>
    <w:p>
      <w:r>
        <w:rPr>
          <w:rFonts w:ascii="微软雅黑" w:hAnsi="微软雅黑" w:eastAsia="微软雅黑"/>
        </w:rPr>
        <w:t>每轮两个训练臂共享父检查点、追加预算、场景流和奖励。continued-PPO 是相同预算的 DRL 对照；world-PPO 加预测辅助和预测门。不是 DreamerV3 复现，也不是临床已验证的世界模型。</w:t>
      </w:r>
    </w:p>
    <w:p>
      <w:r>
        <w:rPr>
          <w:rFonts w:ascii="微软雅黑" w:hAnsi="微软雅黑" w:eastAsia="微软雅黑"/>
        </w:rPr>
        <w:t>初始配置同时增加两臂的安全训练代价，因此相对旧模型提升不能全部归因于预测模型；只能用两臂差异检验其增量贡献。</w:t>
      </w:r>
    </w:p>
    <w:p>
      <w:pPr>
        <w:pStyle w:val="Heading2"/>
      </w:pPr>
      <w:r>
        <w:rPr>
          <w:rFonts w:ascii="微软雅黑" w:hAnsi="微软雅黑" w:eastAsia="微软雅黑"/>
        </w:rPr>
        <w:t>每轮结果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Safe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AUC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壁接触 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continued_ppo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41.7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97.9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89.79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22.637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not_accepted_continue_research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world_ppo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41.7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97.9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89.80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22.590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not_accepted_continue_research</w:t>
            </w:r>
          </w:p>
        </w:tc>
      </w:tr>
    </w:tbl>
    <w:p/>
    <w:p>
      <w:r>
        <w:rPr>
          <w:rFonts w:ascii="微软雅黑" w:hAnsi="微软雅黑" w:eastAsia="微软雅黑"/>
        </w:rPr>
        <w:t>轮 0 下一轮依据：wall contact regression: increase safety cost equally in both arms; particle events: strengthen contact cost in both arms; incomplete clearance: longer reward horizon</w:t>
      </w:r>
    </w:p>
    <w:p>
      <w:r>
        <w:rPr>
          <w:rFonts w:ascii="微软雅黑" w:hAnsi="微软雅黑" w:eastAsia="微软雅黑"/>
        </w:rPr>
        <w:t>| 1 | continued_ppo | 12 | 41.7 | 97.9 | 89.78 | 22.585 | not_accepted_continue_research |</w:t>
      </w:r>
    </w:p>
    <w:p>
      <w:r>
        <w:rPr>
          <w:rFonts w:ascii="微软雅黑" w:hAnsi="微软雅黑" w:eastAsia="微软雅黑"/>
        </w:rPr>
        <w:t>| 1 | world_ppo | 12 | 41.7 | 97.9 | 89.79 | 22.637 | not_accepted_continue_research |</w:t>
      </w:r>
    </w:p>
    <w:p>
      <w:r>
        <w:rPr>
          <w:rFonts w:ascii="微软雅黑" w:hAnsi="微软雅黑" w:eastAsia="微软雅黑"/>
        </w:rPr>
        <w:t>轮 1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2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 下一轮依据：predictive MSE worse than persistence: reduce auxiliary interference and increase warmup</w:t>
      </w:r>
    </w:p>
    <w:p>
      <w:r>
        <w:rPr>
          <w:rFonts w:ascii="微软雅黑" w:hAnsi="微软雅黑" w:eastAsia="微软雅黑"/>
        </w:rPr>
        <w:t>| 3 | continued_ppo | 12 | 58.3 | 97.9 | 87.77 | 21.772 | not_accepted_continue_research |</w:t>
      </w:r>
    </w:p>
    <w:p>
      <w:r>
        <w:rPr>
          <w:rFonts w:ascii="微软雅黑" w:hAnsi="微软雅黑" w:eastAsia="微软雅黑"/>
        </w:rPr>
        <w:t>| 3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3 下一轮依据：no robust gain: broaden policy exploration</w:t>
      </w:r>
    </w:p>
    <w:p>
      <w:r>
        <w:rPr>
          <w:rFonts w:ascii="微软雅黑" w:hAnsi="微软雅黑" w:eastAsia="微软雅黑"/>
        </w:rPr>
        <w:t>| 4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4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4 下一轮依据：no robust gain: broaden policy exploration; compare another initialization after repeated failure; both arms share it</w:t>
      </w:r>
    </w:p>
    <w:p>
      <w:r>
        <w:rPr>
          <w:rFonts w:ascii="微软雅黑" w:hAnsi="微软雅黑" w:eastAsia="微软雅黑"/>
        </w:rPr>
        <w:t>| 5 | continued_ppo | 12 | 41.7 | 97.9 | 89.79 | 22.598 | not_accepted_continue_research |</w:t>
      </w:r>
    </w:p>
    <w:p>
      <w:r>
        <w:rPr>
          <w:rFonts w:ascii="微软雅黑" w:hAnsi="微软雅黑" w:eastAsia="微软雅黑"/>
        </w:rPr>
        <w:t>| 5 | world_ppo | 12 | 41.7 | 97.9 | 89.79 | 22.598 | not_accepted_continue_research |</w:t>
      </w:r>
    </w:p>
    <w:p>
      <w:r>
        <w:rPr>
          <w:rFonts w:ascii="微软雅黑" w:hAnsi="微软雅黑" w:eastAsia="微软雅黑"/>
        </w:rPr>
        <w:t>轮 5 下一轮依据：wall contact regression: increase safety cost equally in both arms; particle events: strengthen contact cost in both arms; incomplete clearance: longer reward horizon</w:t>
      </w:r>
    </w:p>
    <w:p>
      <w:r>
        <w:rPr>
          <w:rFonts w:ascii="微软雅黑" w:hAnsi="微软雅黑" w:eastAsia="微软雅黑"/>
        </w:rPr>
        <w:t>| 6 | continued_ppo | 12 | 41.7 | 97.9 | 89.79 | 22.588 | not_accepted_continue_research |</w:t>
      </w:r>
    </w:p>
    <w:p>
      <w:r>
        <w:rPr>
          <w:rFonts w:ascii="微软雅黑" w:hAnsi="微软雅黑" w:eastAsia="微软雅黑"/>
        </w:rPr>
        <w:t>| 6 | world_ppo | 12 | 41.7 | 97.9 | 89.80 | 22.584 | not_accepted_continue_research |</w:t>
      </w:r>
    </w:p>
    <w:p>
      <w:r>
        <w:rPr>
          <w:rFonts w:ascii="微软雅黑" w:hAnsi="微软雅黑" w:eastAsia="微软雅黑"/>
        </w:rPr>
        <w:t>轮 6 下一轮依据：wall contact regression: increase safety cost equally in both arms; particle events: strengthen contact cost in both arms; incomplete clearance: longer reward horizon; reduce update size after bounded safety coefficients stop changing</w:t>
      </w:r>
    </w:p>
    <w:p>
      <w:r>
        <w:rPr>
          <w:rFonts w:ascii="微软雅黑" w:hAnsi="微软雅黑" w:eastAsia="微软雅黑"/>
        </w:rPr>
        <w:t>| 7 | continued_ppo | 12 | 41.7 | 97.9 | 89.80 | 22.609 | not_accepted_continue_research |</w:t>
      </w:r>
    </w:p>
    <w:p>
      <w:r>
        <w:rPr>
          <w:rFonts w:ascii="微软雅黑" w:hAnsi="微软雅黑" w:eastAsia="微软雅黑"/>
        </w:rPr>
        <w:t>| 7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7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8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8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8 下一轮依据：no robust gain: broaden policy exploration</w:t>
      </w:r>
    </w:p>
    <w:p>
      <w:r>
        <w:rPr>
          <w:rFonts w:ascii="微软雅黑" w:hAnsi="微软雅黑" w:eastAsia="微软雅黑"/>
        </w:rPr>
        <w:t>| 9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9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9 下一轮依据：predictive MSE worse than persistence: reduce auxiliary interference and increase warmup</w:t>
      </w:r>
    </w:p>
    <w:p>
      <w:r>
        <w:rPr>
          <w:rFonts w:ascii="微软雅黑" w:hAnsi="微软雅黑" w:eastAsia="微软雅黑"/>
        </w:rPr>
        <w:t>| 10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10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10 下一轮依据：wall contact regression: increase safety cost equally in both arms; compare another initialization after repeated failure; both arms share it</w:t>
      </w:r>
    </w:p>
    <w:p>
      <w:r>
        <w:rPr>
          <w:rFonts w:ascii="微软雅黑" w:hAnsi="微软雅黑" w:eastAsia="微软雅黑"/>
        </w:rPr>
        <w:t>| 11 | continued_ppo | 12 | 41.7 | 97.9 | 89.79 | 22.609 | not_accepted_continue_research |</w:t>
      </w:r>
    </w:p>
    <w:p>
      <w:r>
        <w:rPr>
          <w:rFonts w:ascii="微软雅黑" w:hAnsi="微软雅黑" w:eastAsia="微软雅黑"/>
        </w:rPr>
        <w:t>| 11 | world_ppo | 12 | 41.7 | 97.9 | 89.79 | 22.598 | not_accepted_continue_research |</w:t>
      </w:r>
    </w:p>
    <w:p>
      <w:r>
        <w:rPr>
          <w:rFonts w:ascii="微软雅黑" w:hAnsi="微软雅黑" w:eastAsia="微软雅黑"/>
        </w:rPr>
        <w:t>轮 11 下一轮依据：wall contact regression: increase safety cost equally in both arms; particle events: strengthen contact cost in both arms; incomplete clearance: longer reward horizon; reduce update size after bounded safety coefficients stop changing</w:t>
      </w:r>
    </w:p>
    <w:p>
      <w:r>
        <w:rPr>
          <w:rFonts w:ascii="微软雅黑" w:hAnsi="微软雅黑" w:eastAsia="微软雅黑"/>
        </w:rPr>
        <w:t>| 12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12 | world_ppo | 12 | 41.7 | 97.9 | 89.79 | 22.609 | not_accepted_continue_research |</w:t>
      </w:r>
    </w:p>
    <w:p>
      <w:r>
        <w:rPr>
          <w:rFonts w:ascii="微软雅黑" w:hAnsi="微软雅黑" w:eastAsia="微软雅黑"/>
        </w:rPr>
        <w:t>轮 12 下一轮依据：wall contact regression: increase safety cost equally in both arms; particle events: strengthen contact cost in both arms; incomplete clearance: longer reward horizon; reduce update size after bounded safety coefficients stop changing</w:t>
      </w:r>
    </w:p>
    <w:p>
      <w:r>
        <w:rPr>
          <w:rFonts w:ascii="微软雅黑" w:hAnsi="微软雅黑" w:eastAsia="微软雅黑"/>
        </w:rPr>
        <w:t>| 13 | continued_ppo | 12 | 41.7 | 97.9 | 89.80 | 22.608 | not_accepted_continue_research |</w:t>
      </w:r>
    </w:p>
    <w:p>
      <w:r>
        <w:rPr>
          <w:rFonts w:ascii="微软雅黑" w:hAnsi="微软雅黑" w:eastAsia="微软雅黑"/>
        </w:rPr>
        <w:t>| 13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13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14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14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14 下一轮依据：wall contact regression: increase safety cost equally in both arms; reduce update size after bounded safety coefficients stop changing</w:t>
      </w:r>
    </w:p>
    <w:p>
      <w:r>
        <w:rPr>
          <w:rFonts w:ascii="微软雅黑" w:hAnsi="微软雅黑" w:eastAsia="微软雅黑"/>
        </w:rPr>
        <w:t>| 15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15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15 下一轮依据：wall contact regression: increase safety cost equally in both arms;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16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16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16 下一轮依据：wall contact regression: increase safety cost equally in both arms; compare another initialization after repeated failure; both arms share it</w:t>
      </w:r>
    </w:p>
    <w:p>
      <w:r>
        <w:rPr>
          <w:rFonts w:ascii="微软雅黑" w:hAnsi="微软雅黑" w:eastAsia="微软雅黑"/>
        </w:rPr>
        <w:t>| 17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17 | world_ppo | 12 | 41.7 | 97.9 | 89.79 | 22.608 | not_accepted_continue_research |</w:t>
      </w:r>
    </w:p>
    <w:p>
      <w:r>
        <w:rPr>
          <w:rFonts w:ascii="微软雅黑" w:hAnsi="微软雅黑" w:eastAsia="微软雅黑"/>
        </w:rPr>
        <w:t>轮 17 下一轮依据：wall contact regression: increase safety cost equally in both arms; particle events: strengthen contact cost in both arms; incomplete clearance: longer reward horizon;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18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18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18 下一轮依据：wall contact regression: increase safety cost equally in both arms; particle events: strengthen contact cost in both arms; incomplete clearance: longer reward horizon;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19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19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19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20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20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20 下一轮依据：wall contact regression: increase safety cost equally in both arms;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21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21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21 下一轮依据：wall contact regression: increase safety cost equally in both arms;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22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22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22 下一轮依据：wall contact regression: increase safety cost equally in both arms; compare another initialization after repeated failure; both arms share it</w:t>
      </w:r>
    </w:p>
    <w:p>
      <w:r>
        <w:rPr>
          <w:rFonts w:ascii="微软雅黑" w:hAnsi="微软雅黑" w:eastAsia="微软雅黑"/>
        </w:rPr>
        <w:t>| 23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23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23 下一轮依据：wall contact regression: increase safety cost equally in both arms; particle events: strengthen contact cost in both arms; incomplete clearance: longer reward horizon; reduce update size after bounded safety coefficients stop changing; bounded-parameter replication on a new registered training stream; not a new mechanism</w:t>
      </w:r>
    </w:p>
    <w:p>
      <w:pPr>
        <w:pStyle w:val="Heading2"/>
      </w:pPr>
      <w:r>
        <w:rPr>
          <w:rFonts w:ascii="微软雅黑" w:hAnsi="微软雅黑" w:eastAsia="微软雅黑"/>
        </w:rPr>
        <w:t>解释边界</w:t>
      </w:r>
    </w:p>
    <w:p>
      <w:r>
        <w:rPr>
          <w:rFonts w:ascii="微软雅黑" w:hAnsi="微软雅黑" w:eastAsia="微软雅黑"/>
        </w:rPr>
        <w:t>promising 只表示值得扩展验证，不能称稳定超过启发式。需要强固定选项对照、多种子与额外场景复核。单次 seed0 筛查、重复使用开发集和多轮选择存在选择偏差。</w:t>
      </w:r>
    </w:p>
    <w:p>
      <w:r>
        <w:rPr>
          <w:rFonts w:ascii="微软雅黑" w:hAnsi="微软雅黑" w:eastAsia="微软雅黑"/>
        </w:rPr>
        <w:t>额外场景也标注为开发复核，不冒充密封测试。移除预测门的评估属于依赖性干预，不能代替同预算重训练消融。</w:t>
      </w:r>
    </w:p>
    <w:p>
      <w:r>
        <w:rPr>
          <w:rFonts w:ascii="微软雅黑" w:hAnsi="微软雅黑" w:eastAsia="微软雅黑"/>
        </w:rPr>
        <w:t>真实磁场尚未校准，2 mm 仅为间距代理。体外能破栓与学习导航可迁移是两个需要分别验证的结论。</w:t>
      </w:r>
    </w:p>
    <w:p>
      <w:r>
        <w:rPr>
          <w:rFonts w:ascii="微软雅黑" w:hAnsi="微软雅黑" w:eastAsia="微软雅黑"/>
        </w:rPr>
        <w:t>失败/预算未完成的作业留在 jobs 与 STATUS.json；三个连续运行基础设施失败会停在明确失败状态，避免无意义重试。</w:t>
      </w:r>
    </w:p>
    <w:p>
      <w:r>
        <w:rPr>
          <w:rFonts w:ascii="微软雅黑" w:hAnsi="微软雅黑" w:eastAsia="微软雅黑"/>
        </w:rPr>
        <w:t>状态与全部证据：/home/wj/桌面/vascular_marl_local.tar./research/validation/EXP0061_ADAPTIVE_WORLD_RL_20261006</w:t>
      </w:r>
    </w:p>
    <w:p>
      <w:pPr>
        <w:pStyle w:val="Heading2"/>
      </w:pPr>
      <w:r>
        <w:rPr>
          <w:rFonts w:ascii="微软雅黑" w:hAnsi="微软雅黑" w:eastAsia="微软雅黑"/>
        </w:rPr>
        <w:t>实现结构与验收资料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4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ve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实际实现的预测辅助 DRL 网络</w:t>
      </w:r>
    </w:p>
    <w:p>
      <w:r>
        <w:rPr>
          <w:rFonts w:ascii="微软雅黑" w:hAnsi="微软雅黑" w:eastAsia="微软雅黑"/>
        </w:rPr>
        <w:t>原始训练与评估保留在各 round 目录；模型门的预测来自训练好的网络，不是查询仿真真值。</w:t>
      </w:r>
    </w:p>
    <w:p>
      <w:pPr>
        <w:pStyle w:val="Heading2"/>
      </w:pPr>
      <w:r>
        <w:rPr>
          <w:rFonts w:ascii="微软雅黑" w:hAnsi="微软雅黑" w:eastAsia="微软雅黑"/>
        </w:rPr>
        <w:t>固定行为轨迹上的预测审计</w:t>
      </w:r>
    </w:p>
    <w:p>
      <w:r>
        <w:rPr>
          <w:rFonts w:ascii="微软雅黑" w:hAnsi="微软雅黑" w:eastAsia="微软雅黑"/>
        </w:rPr>
        <w:t>额外开发场景采用固定行为生成轨迹，各模型观察相同初始化；这些审计不进入自动调参规则。风险分数尚未校准，必须同时看阳性样本数量和零风险预测基线。</w:t>
      </w:r>
    </w:p>
    <w:p>
      <w:pPr>
        <w:pStyle w:val="ListBullet"/>
      </w:pPr>
      <w:r>
        <w:rPr>
          <w:rFonts w:ascii="微软雅黑" w:hAnsi="微软雅黑" w:eastAsia="微软雅黑"/>
        </w:rPr>
        <w:t>round_00：下一测量 MSE 0.2786，持久性基线 0.2799；奖励 MSE 0.0145，零奖励基线 0.0123；壁/粒子/间距阳性样本 [12.0, 4.0, 0.0]；Brier [0.015881935438851608, 0.005831019067950296, 0.0004355652994415903]，零风险基线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round_01：下一测量 MSE 0.2789，持久性基线 0.2799；奖励 MSE 0.0201，零奖励基线 0.0202；壁/粒子/间距阳性样本 [12.0, 4.0, 0.0]；Brier [0.01605548814196226, 0.006110782432286372, 0.0007536016085491048]，零风险基线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round_02：下一测量 MSE 0.2839，持久性基线 0.2799；奖励 MSE 0.0338，零奖励基线 0.0322；壁/粒子/间距阳性样本 [12.0, 4.0, 0.0]；Brier [0.016413394299891308, 0.005540034561344117, 1.4520486017828666e-05]，零风险基线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round_03：下一测量 MSE 0.2799，持久性基线 0.2799；奖励 MSE 0.0325，零奖励基线 0.0322；壁/粒子/间距阳性样本 [12.0, 4.0, 0.0]；Brier [0.016399098102071415, 0.0055619559924807395, 0.0020646124734304836]，零风险基线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round_04：下一测量 MSE 0.2800，持久性基线 0.2799；奖励 MSE 0.0324，零奖励基线 0.0322；壁/粒子/间距阳性样本 [12.0, 4.0, 0.0]；Brier [0.01638298566415524, 0.0055259839013310896, 5.765825083363927e-05]，零风险基线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round_05：下一测量 MSE 0.2783，持久性基线 0.2799；奖励 MSE 0.0322，零奖励基线 0.0322；壁/粒子/间距阳性样本 [12.0, 4.0, 0.0]；Brier [0.01627411291525067, 0.005523889962491071, 3.222613914896926e-05]，零风险基线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round_06：下一测量 MSE 0.2783，持久性基线 0.2799；奖励 MSE 0.0440，零奖励基线 0.0450；壁/粒子/间距阳性样本 [12.0, 4.0, 0.0]；Brier [0.016150108826394897, 0.0055394765700437255, 3.316004101455073e-05]，零风险基线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round_07：下一测量 MSE 0.2789，持久性基线 0.2799；奖励 MSE 0.0446，零奖励基线 0.0450；壁/粒子/间距阳性样本 [12.0, 4.0, 0.0]；Brier [0.01600442192180473, 0.005669542481469171, 0.0002939271947871931]，零风险基线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round_08：下一测量 MSE 0.2798，持久性基线 0.2799；奖励 MSE 0.0445，零奖励基线 0.0450；壁/粒子/间距阳性样本 [12.0, 4.0, 0.0]；Brier [0.016382703019827402, 0.005547876808326903, 4.728762245286689e-05]，零风险基线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round_09：下一测量 MSE 0.2803，持久性基线 0.2799；奖励 MSE 0.0446，零奖励基线 0.0450；壁/粒子/间距阳性样本 [12.0, 4.0, 0.0]；Brier [0.01639180081932605, 0.005534859498406184, 0.0008002842578144636]，零风险基线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round_10：下一测量 MSE 0.2797，持久性基线 0.2799；奖励 MSE 0.0446，零奖励基线 0.0450；壁/粒子/间距阳性样本 [12.0, 4.0, 0.0]；Brier [0.016371172084002326, 0.0055525409804294355, 4.0616672915472766e-05]，零风险基线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round_11：下一测量 MSE 0.2788，持久性基线 0.2799；奖励 MSE 0.0445，零奖励基线 0.0450；壁/粒子/间距阳性样本 [12.0, 4.0, 0.0]；Brier [0.016086059102445854, 0.005704545920780323, 0.00038438905784490027]，零风险基线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round_12：下一测量 MSE 0.2791，持久性基线 0.2799；奖励 MSE 0.0428，零奖励基线 0.0450；壁/粒子/间距阳性样本 [12.0, 4.0, 0.0]；Brier [0.01753638950146488, 0.008880037434946362, 0.0037939363423242964]，零风险基线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round_13：下一测量 MSE 0.2794，持久性基线 0.2799；奖励 MSE 0.0450，零奖励基线 0.0450；壁/粒子/间距阳性样本 [12.0, 4.0, 0.0]；Brier [0.03047430553312594, 0.026417912134183673, 0.019819512863016267]，零风险基线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round_14：下一测量 MSE 0.2793，持久性基线 0.2799；奖励 MSE 0.0448，零奖励基线 0.0450；壁/粒子/间距阳性样本 [12.0, 4.0, 0.0]；Brier [0.01950987505320356, 0.010521725728928136, 0.005750660809630805]，零风险基线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round_15：下一测量 MSE 0.2789，持久性基线 0.2799；奖励 MSE 0.0446，零奖励基线 0.0450；壁/粒子/间距阳性样本 [12.0, 4.0, 0.0]；Brier [0.02534445611309187, 0.016872453847144437, 0.01261606599602956]，零风险基线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round_16：下一测量 MSE 0.2790，持久性基线 0.2799；奖励 MSE 0.0448，零奖励基线 0.0450；壁/粒子/间距阳性样本 [12.0, 4.0, 0.0]；Brier [0.024942780113629787, 0.01669052077459155, 0.012770758284633428]，零风险基线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round_17：下一测量 MSE 0.2794，持久性基线 0.2799；奖励 MSE 0.0438，零奖励基线 0.0450；壁/粒子/间距阳性样本 [12.0, 4.0, 0.0]；Brier [0.04462320956313341, 0.04749277907897239, 0.03721799984453082]，零风险基线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round_18：下一测量 MSE 0.2795，持久性基线 0.2799；奖励 MSE 0.0452，零奖励基线 0.0450；壁/粒子/间距阳性样本 [12.0, 4.0, 0.0]；Brier [0.043475440912793886, 0.045471922229094144, 0.03600613112038806]，零风险基线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round_19：下一测量 MSE 0.2795，持久性基线 0.2799；奖励 MSE 0.0449，零奖励基线 0.0450；壁/粒子/间距阳性样本 [12.0, 4.0, 0.0]；Brier [0.04130371530426442, 0.04205770930407833, 0.03312996956474688]，零风险基线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round_20：下一测量 MSE 0.2789，持久性基线 0.2799；奖励 MSE 0.0443，零奖励基线 0.0450；壁/粒子/间距阳性样本 [12.0, 4.0, 0.0]；Brier [0.023474739562398286, 0.014851326203960779, 0.010638154263893454]，零风险基线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round_21：下一测量 MSE 0.2790，持久性基线 0.2799；奖励 MSE 0.0443，零奖励基线 0.0450；壁/粒子/间距阳性样本 [12.0, 4.0, 0.0]；Brier [0.026640183838813117, 0.019066048462356603, 0.014982060353220484]，零风险基线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round_22：下一测量 MSE 0.2792，持久性基线 0.2799；奖励 MSE 0.0444，零奖励基线 0.0450；壁/粒子/间距阳性样本 [12.0, 4.0, 0.0]；Brier [0.0215182005648844, 0.013396370900951303, 0.009198256752456349]，零风险基线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round_23：下一测量 MSE 0.2794，持久性基线 0.2799；奖励 MSE 0.0447，零奖励基线 0.0450；壁/粒子/间距阳性样本 [12.0, 4.0, 0.0]；Brier [0.03947859467177988, 0.039228376556817164, 0.03070972445061605]，零风险基线 [0.016666666666666666, 0.005555555555555556, 0.0]。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32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在线模型诊断，不是任务成功率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10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最近候选策略实际 GUI 回放，场景固定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