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62981" w14:textId="77777777" w:rsidR="0061542B" w:rsidRDefault="00447B7B" w:rsidP="441EBDBB">
      <w:pPr>
        <w:jc w:val="center"/>
      </w:pPr>
      <w:r>
        <w:rPr>
          <w:noProof/>
        </w:rPr>
        <w:drawing>
          <wp:anchor distT="0" distB="0" distL="114300" distR="114300" simplePos="0" relativeHeight="251659264" behindDoc="0" locked="0" layoutInCell="1" allowOverlap="1" wp14:anchorId="6F4CCD79" wp14:editId="70738FFE">
            <wp:simplePos x="0" y="0"/>
            <wp:positionH relativeFrom="page">
              <wp:posOffset>914400</wp:posOffset>
            </wp:positionH>
            <wp:positionV relativeFrom="page">
              <wp:posOffset>9499600</wp:posOffset>
            </wp:positionV>
            <wp:extent cx="1841500" cy="558800"/>
            <wp:effectExtent l="0" t="0" r="6350" b="0"/>
            <wp:wrapNone/>
            <wp:docPr id="2" name="Imagen 2" descr="Co-funded by the European U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o-funded by the European Union"/>
                    <pic:cNvPicPr/>
                  </pic:nvPicPr>
                  <pic:blipFill>
                    <a:blip r:embed="rId11">
                      <a:extLst>
                        <a:ext uri="{28A0092B-C50C-407E-A947-70E740481C1C}">
                          <a14:useLocalDpi xmlns:a14="http://schemas.microsoft.com/office/drawing/2010/main" val="0"/>
                        </a:ext>
                      </a:extLst>
                    </a:blip>
                    <a:stretch>
                      <a:fillRect/>
                    </a:stretch>
                  </pic:blipFill>
                  <pic:spPr>
                    <a:xfrm>
                      <a:off x="0" y="0"/>
                      <a:ext cx="1841500" cy="558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1C67F8FD" wp14:editId="5BC7C32C">
            <wp:simplePos x="0" y="0"/>
            <wp:positionH relativeFrom="page">
              <wp:posOffset>6223000</wp:posOffset>
            </wp:positionH>
            <wp:positionV relativeFrom="page">
              <wp:posOffset>431800</wp:posOffset>
            </wp:positionV>
            <wp:extent cx="508000" cy="1143000"/>
            <wp:effectExtent l="0" t="0" r="6350" b="0"/>
            <wp:wrapNone/>
            <wp:docPr id="1" name="Imagen 1" descr="ANFORA solu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ANFORA solution logo"/>
                    <pic:cNvPicPr/>
                  </pic:nvPicPr>
                  <pic:blipFill>
                    <a:blip r:embed="rId12">
                      <a:extLst>
                        <a:ext uri="{28A0092B-C50C-407E-A947-70E740481C1C}">
                          <a14:useLocalDpi xmlns:a14="http://schemas.microsoft.com/office/drawing/2010/main" val="0"/>
                        </a:ext>
                      </a:extLst>
                    </a:blip>
                    <a:stretch>
                      <a:fillRect/>
                    </a:stretch>
                  </pic:blipFill>
                  <pic:spPr>
                    <a:xfrm>
                      <a:off x="0" y="0"/>
                      <a:ext cx="508000" cy="1143000"/>
                    </a:xfrm>
                    <a:prstGeom prst="rect">
                      <a:avLst/>
                    </a:prstGeom>
                  </pic:spPr>
                </pic:pic>
              </a:graphicData>
            </a:graphic>
            <wp14:sizeRelH relativeFrom="margin">
              <wp14:pctWidth>0</wp14:pctWidth>
            </wp14:sizeRelH>
            <wp14:sizeRelV relativeFrom="margin">
              <wp14:pctHeight>0</wp14:pctHeight>
            </wp14:sizeRelV>
          </wp:anchor>
        </w:drawing>
      </w:r>
      <w:r w:rsidR="5B4B32C2" w:rsidRPr="008773A4">
        <w:rPr>
          <w:noProof/>
        </w:rPr>
        <w:drawing>
          <wp:inline distT="0" distB="0" distL="0" distR="0" wp14:anchorId="199750D8" wp14:editId="5D052A7C">
            <wp:extent cx="5724525" cy="3552825"/>
            <wp:effectExtent l="0" t="0" r="0" b="0"/>
            <wp:docPr id="1887814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14340" name=""/>
                    <pic:cNvPicPr/>
                  </pic:nvPicPr>
                  <pic:blipFill>
                    <a:blip r:embed="rId13">
                      <a:extLst>
                        <a:ext uri="{28A0092B-C50C-407E-A947-70E740481C1C}">
                          <a14:useLocalDpi xmlns:a14="http://schemas.microsoft.com/office/drawing/2010/main" val="0"/>
                        </a:ext>
                      </a:extLst>
                    </a:blip>
                    <a:stretch>
                      <a:fillRect/>
                    </a:stretch>
                  </pic:blipFill>
                  <pic:spPr>
                    <a:xfrm>
                      <a:off x="0" y="0"/>
                      <a:ext cx="5724525" cy="3552825"/>
                    </a:xfrm>
                    <a:prstGeom prst="rect">
                      <a:avLst/>
                    </a:prstGeom>
                  </pic:spPr>
                </pic:pic>
              </a:graphicData>
            </a:graphic>
          </wp:inline>
        </w:drawing>
      </w:r>
    </w:p>
    <w:p w14:paraId="0D93448F" w14:textId="77777777" w:rsidR="00546101" w:rsidRPr="008773A4" w:rsidRDefault="00546101" w:rsidP="441EBDBB">
      <w:pPr>
        <w:spacing w:line="276" w:lineRule="auto"/>
        <w:jc w:val="center"/>
        <w:rPr>
          <w:rFonts w:eastAsia="Calibri" w:cs="Calibri"/>
          <w:b/>
          <w:bCs/>
        </w:rPr>
      </w:pPr>
    </w:p>
    <w:p w14:paraId="65B9DDD1" w14:textId="77777777" w:rsidR="00546101" w:rsidRPr="008773A4" w:rsidRDefault="00546101" w:rsidP="441EBDBB">
      <w:pPr>
        <w:spacing w:line="276" w:lineRule="auto"/>
        <w:jc w:val="center"/>
        <w:rPr>
          <w:rFonts w:eastAsia="Calibri" w:cs="Calibri"/>
          <w:b/>
          <w:bCs/>
        </w:rPr>
      </w:pPr>
    </w:p>
    <w:p w14:paraId="267F79C9" w14:textId="77777777" w:rsidR="00546101" w:rsidRPr="008773A4" w:rsidRDefault="00546101" w:rsidP="441EBDBB">
      <w:pPr>
        <w:spacing w:line="276" w:lineRule="auto"/>
        <w:jc w:val="center"/>
        <w:rPr>
          <w:rFonts w:eastAsia="Calibri" w:cs="Calibri"/>
          <w:b/>
          <w:bCs/>
        </w:rPr>
      </w:pPr>
    </w:p>
    <w:p w14:paraId="036FEC37" w14:textId="77777777" w:rsidR="707E544F" w:rsidRPr="0069239F" w:rsidRDefault="6E2E45BD" w:rsidP="3EDDA7DD">
      <w:pPr>
        <w:pStyle w:val="Ttulo10"/>
        <w:spacing w:line="276" w:lineRule="auto"/>
        <w:jc w:val="center"/>
        <w:rPr>
          <w:rFonts w:eastAsia="Calibri" w:cs="Calibri"/>
        </w:rPr>
      </w:pPr>
      <w:r w:rsidRPr="3EDDA7DD">
        <w:rPr>
          <w:rFonts w:eastAsia="Calibri" w:cs="Calibri"/>
          <w:bCs/>
        </w:rPr>
        <w:t>Innovator Indicators Review</w:t>
      </w:r>
    </w:p>
    <w:p w14:paraId="77C5A570" w14:textId="77777777" w:rsidR="707E544F" w:rsidRPr="008773A4" w:rsidRDefault="002B32FF" w:rsidP="441EBDBB">
      <w:pPr>
        <w:spacing w:line="276" w:lineRule="auto"/>
        <w:jc w:val="center"/>
        <w:rPr>
          <w:rFonts w:eastAsia="Calibri" w:cs="Calibri"/>
        </w:rPr>
      </w:pPr>
      <w:r>
        <w:rPr>
          <w:rFonts w:eastAsia="Calibri" w:cs="Calibri"/>
          <w:b/>
          <w:bCs/>
        </w:rPr>
        <w:t>ANFORA – Digital platform for water footprint analysis</w:t>
      </w:r>
    </w:p>
    <w:p w14:paraId="7468A103" w14:textId="77777777" w:rsidR="25C05879" w:rsidRPr="008773A4" w:rsidRDefault="002B32FF" w:rsidP="441EBDBB">
      <w:pPr>
        <w:spacing w:line="276" w:lineRule="auto"/>
        <w:jc w:val="center"/>
        <w:rPr>
          <w:rFonts w:eastAsia="Calibri" w:cs="Calibri"/>
        </w:rPr>
      </w:pPr>
      <w:r>
        <w:rPr>
          <w:rFonts w:eastAsia="Calibri" w:cs="Calibri"/>
          <w:b/>
          <w:bCs/>
        </w:rPr>
        <w:t>Evenor-Tech S.L.U.</w:t>
      </w:r>
    </w:p>
    <w:p w14:paraId="6CF5DC82" w14:textId="77777777" w:rsidR="707E544F" w:rsidRPr="008773A4" w:rsidRDefault="002B32FF" w:rsidP="441EBDBB">
      <w:pPr>
        <w:spacing w:line="276" w:lineRule="auto"/>
        <w:jc w:val="center"/>
        <w:rPr>
          <w:rFonts w:eastAsia="Calibri" w:cs="Calibri"/>
        </w:rPr>
      </w:pPr>
      <w:r>
        <w:rPr>
          <w:rFonts w:eastAsia="Calibri" w:cs="Calibri"/>
          <w:b/>
          <w:bCs/>
        </w:rPr>
        <w:t>D05 – Lucena, Spain</w:t>
      </w:r>
    </w:p>
    <w:p w14:paraId="2F196123" w14:textId="77777777" w:rsidR="707E544F" w:rsidRPr="008773A4" w:rsidRDefault="002B32FF" w:rsidP="3EDDA7DD">
      <w:pPr>
        <w:spacing w:line="276" w:lineRule="auto"/>
        <w:jc w:val="center"/>
      </w:pPr>
      <w:r>
        <w:rPr>
          <w:rFonts w:eastAsia="Calibri" w:cs="Calibri"/>
          <w:b/>
          <w:bCs/>
        </w:rPr>
        <w:t>Monitoring period: 1 March–31 August 2026</w:t>
      </w:r>
    </w:p>
    <w:p w14:paraId="7BB04391" w14:textId="77777777" w:rsidR="5E53C1B0" w:rsidRDefault="5E53C1B0" w:rsidP="6100511F">
      <w:pPr>
        <w:spacing w:line="276" w:lineRule="auto"/>
        <w:jc w:val="center"/>
        <w:rPr>
          <w:rFonts w:cs="Calibri"/>
          <w:b/>
          <w:bCs/>
          <w:sz w:val="28"/>
          <w:szCs w:val="28"/>
        </w:rPr>
      </w:pPr>
      <w:r w:rsidRPr="6100511F">
        <w:rPr>
          <w:rFonts w:eastAsia="Calibri" w:cs="Calibri"/>
          <w:b/>
          <w:bCs/>
        </w:rPr>
        <w:t>Final working revision: 21 October 2026    Internal review</w:t>
      </w:r>
    </w:p>
    <w:p w14:paraId="341D194C" w14:textId="77777777" w:rsidR="6100511F" w:rsidRDefault="6100511F" w:rsidP="6100511F">
      <w:pPr>
        <w:spacing w:line="276" w:lineRule="auto"/>
        <w:jc w:val="center"/>
        <w:rPr>
          <w:rFonts w:eastAsia="Calibri" w:cs="Calibri"/>
        </w:rPr>
      </w:pPr>
    </w:p>
    <w:p w14:paraId="5B6049C1" w14:textId="77777777" w:rsidR="6100511F" w:rsidRDefault="6100511F" w:rsidP="6100511F">
      <w:pPr>
        <w:spacing w:line="276" w:lineRule="auto"/>
        <w:jc w:val="center"/>
        <w:rPr>
          <w:rFonts w:eastAsia="Calibri" w:cs="Calibri"/>
        </w:rPr>
      </w:pPr>
    </w:p>
    <w:p w14:paraId="17FA6674" w14:textId="77777777" w:rsidR="6100511F" w:rsidRDefault="6100511F" w:rsidP="6100511F">
      <w:pPr>
        <w:spacing w:line="276" w:lineRule="auto"/>
        <w:jc w:val="center"/>
        <w:rPr>
          <w:rFonts w:eastAsia="Calibri" w:cs="Calibri"/>
        </w:rPr>
      </w:pPr>
    </w:p>
    <w:p w14:paraId="7C3934D9" w14:textId="77777777" w:rsidR="002038FF" w:rsidRDefault="002038FF" w:rsidP="6100511F">
      <w:pPr>
        <w:spacing w:line="276" w:lineRule="auto"/>
        <w:jc w:val="left"/>
        <w:rPr>
          <w:rFonts w:eastAsia="Calibri" w:cs="Calibri"/>
        </w:rPr>
      </w:pPr>
    </w:p>
    <w:p w14:paraId="39AD5853" w14:textId="77777777" w:rsidR="422CDCB3" w:rsidRDefault="422CDCB3" w:rsidP="61CE887F">
      <w:pPr>
        <w:spacing w:line="276" w:lineRule="auto"/>
        <w:jc w:val="left"/>
        <w:rPr>
          <w:rFonts w:eastAsia="Calibri" w:cs="Calibri"/>
        </w:rPr>
      </w:pPr>
    </w:p>
    <w:p w14:paraId="4A224CC8" w14:textId="77777777" w:rsidR="002038FF" w:rsidRDefault="002038FF" w:rsidP="6100511F">
      <w:pPr>
        <w:spacing w:line="276" w:lineRule="auto"/>
        <w:jc w:val="left"/>
        <w:rPr>
          <w:rFonts w:eastAsia="Calibri" w:cs="Calibri"/>
        </w:rPr>
        <w:sectPr w:rsidR="002038FF" w:rsidSect="00001B40">
          <w:headerReference w:type="default" r:id="rId14"/>
          <w:footerReference w:type="default" r:id="rId15"/>
          <w:headerReference w:type="first" r:id="rId16"/>
          <w:footerReference w:type="first" r:id="rId17"/>
          <w:pgSz w:w="11906" w:h="16838"/>
          <w:pgMar w:top="1440" w:right="1797" w:bottom="1440" w:left="1797" w:header="720" w:footer="720" w:gutter="0"/>
          <w:pgBorders w:offsetFrom="page">
            <w:bottom w:val="single" w:sz="8" w:space="24" w:color="000000"/>
          </w:pgBorders>
          <w:pgNumType w:fmt="lowerRoman" w:start="1"/>
          <w:cols w:space="720"/>
          <w:titlePg/>
          <w:docGrid w:linePitch="360"/>
        </w:sectPr>
      </w:pPr>
    </w:p>
    <w:p w14:paraId="20E86C53" w14:textId="77777777" w:rsidR="00AF315D" w:rsidRDefault="00BC6908">
      <w:pPr>
        <w:spacing w:after="140" w:line="276" w:lineRule="auto"/>
        <w:jc w:val="left"/>
      </w:pPr>
      <w:r>
        <w:rPr>
          <w:b/>
          <w:color w:val="0F4761"/>
          <w:sz w:val="32"/>
        </w:rPr>
        <w:lastRenderedPageBreak/>
        <w:t>Contents</w:t>
      </w:r>
    </w:p>
    <w:p w14:paraId="752CC8B6" w14:textId="7F607E12" w:rsidR="00924C1B" w:rsidRDefault="00BC6908">
      <w:pPr>
        <w:pStyle w:val="TDC3"/>
        <w:tabs>
          <w:tab w:val="right" w:leader="dot" w:pos="8302"/>
        </w:tabs>
        <w:rPr>
          <w:rFonts w:asciiTheme="minorHAnsi" w:eastAsiaTheme="minorEastAsia" w:hAnsiTheme="minorHAnsi"/>
          <w:noProof/>
          <w:sz w:val="22"/>
          <w:szCs w:val="22"/>
          <w:lang w:val="es-ES" w:eastAsia="es-ES"/>
        </w:rPr>
      </w:pPr>
      <w:r>
        <w:fldChar w:fldCharType="begin"/>
      </w:r>
      <w:r>
        <w:instrText xml:space="preserve"> TOC \o "3-3" \h \z </w:instrText>
      </w:r>
      <w:r>
        <w:fldChar w:fldCharType="separate"/>
      </w:r>
      <w:hyperlink w:anchor="_Toc243480109" w:history="1">
        <w:r w:rsidR="00924C1B" w:rsidRPr="00EC2B71">
          <w:rPr>
            <w:rStyle w:val="Hipervnculo"/>
            <w:noProof/>
          </w:rPr>
          <w:t>1 Decision and Period Results</w:t>
        </w:r>
        <w:r w:rsidR="00924C1B">
          <w:rPr>
            <w:noProof/>
            <w:webHidden/>
          </w:rPr>
          <w:tab/>
        </w:r>
        <w:r w:rsidR="00924C1B">
          <w:rPr>
            <w:noProof/>
            <w:webHidden/>
          </w:rPr>
          <w:fldChar w:fldCharType="begin"/>
        </w:r>
        <w:r w:rsidR="00924C1B">
          <w:rPr>
            <w:noProof/>
            <w:webHidden/>
          </w:rPr>
          <w:instrText xml:space="preserve"> PAGEREF _Toc243480109 \h </w:instrText>
        </w:r>
        <w:r w:rsidR="00924C1B">
          <w:rPr>
            <w:noProof/>
            <w:webHidden/>
          </w:rPr>
        </w:r>
        <w:r w:rsidR="00924C1B">
          <w:rPr>
            <w:noProof/>
            <w:webHidden/>
          </w:rPr>
          <w:fldChar w:fldCharType="separate"/>
        </w:r>
        <w:r w:rsidR="00924C1B">
          <w:rPr>
            <w:noProof/>
            <w:webHidden/>
          </w:rPr>
          <w:t>1</w:t>
        </w:r>
        <w:r w:rsidR="00924C1B">
          <w:rPr>
            <w:noProof/>
            <w:webHidden/>
          </w:rPr>
          <w:fldChar w:fldCharType="end"/>
        </w:r>
      </w:hyperlink>
    </w:p>
    <w:p w14:paraId="521CED1F" w14:textId="56E135AC" w:rsidR="00924C1B" w:rsidRDefault="00924C1B">
      <w:pPr>
        <w:pStyle w:val="TDC3"/>
        <w:tabs>
          <w:tab w:val="right" w:leader="dot" w:pos="8302"/>
        </w:tabs>
        <w:rPr>
          <w:rFonts w:asciiTheme="minorHAnsi" w:eastAsiaTheme="minorEastAsia" w:hAnsiTheme="minorHAnsi"/>
          <w:noProof/>
          <w:sz w:val="22"/>
          <w:szCs w:val="22"/>
          <w:lang w:val="es-ES" w:eastAsia="es-ES"/>
        </w:rPr>
      </w:pPr>
      <w:hyperlink w:anchor="_Toc243480110" w:history="1">
        <w:r w:rsidRPr="00EC2B71">
          <w:rPr>
            <w:rStyle w:val="Hipervnculo"/>
            <w:noProof/>
          </w:rPr>
          <w:t>2 Confirmed Declarations and Documentary Reconciliation</w:t>
        </w:r>
        <w:r>
          <w:rPr>
            <w:noProof/>
            <w:webHidden/>
          </w:rPr>
          <w:tab/>
        </w:r>
        <w:r>
          <w:rPr>
            <w:noProof/>
            <w:webHidden/>
          </w:rPr>
          <w:fldChar w:fldCharType="begin"/>
        </w:r>
        <w:r>
          <w:rPr>
            <w:noProof/>
            <w:webHidden/>
          </w:rPr>
          <w:instrText xml:space="preserve"> PAGEREF _Toc243480110 \h </w:instrText>
        </w:r>
        <w:r>
          <w:rPr>
            <w:noProof/>
            <w:webHidden/>
          </w:rPr>
        </w:r>
        <w:r>
          <w:rPr>
            <w:noProof/>
            <w:webHidden/>
          </w:rPr>
          <w:fldChar w:fldCharType="separate"/>
        </w:r>
        <w:r>
          <w:rPr>
            <w:noProof/>
            <w:webHidden/>
          </w:rPr>
          <w:t>2</w:t>
        </w:r>
        <w:r>
          <w:rPr>
            <w:noProof/>
            <w:webHidden/>
          </w:rPr>
          <w:fldChar w:fldCharType="end"/>
        </w:r>
      </w:hyperlink>
    </w:p>
    <w:p w14:paraId="3AC1939B" w14:textId="11F87C95" w:rsidR="00924C1B" w:rsidRDefault="00924C1B">
      <w:pPr>
        <w:pStyle w:val="TDC3"/>
        <w:tabs>
          <w:tab w:val="right" w:leader="dot" w:pos="8302"/>
        </w:tabs>
        <w:rPr>
          <w:rFonts w:asciiTheme="minorHAnsi" w:eastAsiaTheme="minorEastAsia" w:hAnsiTheme="minorHAnsi"/>
          <w:noProof/>
          <w:sz w:val="22"/>
          <w:szCs w:val="22"/>
          <w:lang w:val="es-ES" w:eastAsia="es-ES"/>
        </w:rPr>
      </w:pPr>
      <w:hyperlink w:anchor="_Toc243480111" w:history="1">
        <w:r w:rsidRPr="00EC2B71">
          <w:rPr>
            <w:rStyle w:val="Hipervnculo"/>
            <w:noProof/>
          </w:rPr>
          <w:t>3 Assessment of the Nine Official Indicators</w:t>
        </w:r>
        <w:r>
          <w:rPr>
            <w:noProof/>
            <w:webHidden/>
          </w:rPr>
          <w:tab/>
        </w:r>
        <w:r>
          <w:rPr>
            <w:noProof/>
            <w:webHidden/>
          </w:rPr>
          <w:fldChar w:fldCharType="begin"/>
        </w:r>
        <w:r>
          <w:rPr>
            <w:noProof/>
            <w:webHidden/>
          </w:rPr>
          <w:instrText xml:space="preserve"> PAGEREF _Toc243480111 \h </w:instrText>
        </w:r>
        <w:r>
          <w:rPr>
            <w:noProof/>
            <w:webHidden/>
          </w:rPr>
        </w:r>
        <w:r>
          <w:rPr>
            <w:noProof/>
            <w:webHidden/>
          </w:rPr>
          <w:fldChar w:fldCharType="separate"/>
        </w:r>
        <w:r>
          <w:rPr>
            <w:noProof/>
            <w:webHidden/>
          </w:rPr>
          <w:t>3</w:t>
        </w:r>
        <w:r>
          <w:rPr>
            <w:noProof/>
            <w:webHidden/>
          </w:rPr>
          <w:fldChar w:fldCharType="end"/>
        </w:r>
      </w:hyperlink>
    </w:p>
    <w:p w14:paraId="2F4876E1" w14:textId="221C9191" w:rsidR="00924C1B" w:rsidRDefault="00924C1B">
      <w:pPr>
        <w:pStyle w:val="TDC3"/>
        <w:tabs>
          <w:tab w:val="right" w:leader="dot" w:pos="8302"/>
        </w:tabs>
        <w:rPr>
          <w:rFonts w:asciiTheme="minorHAnsi" w:eastAsiaTheme="minorEastAsia" w:hAnsiTheme="minorHAnsi"/>
          <w:noProof/>
          <w:sz w:val="22"/>
          <w:szCs w:val="22"/>
          <w:lang w:val="es-ES" w:eastAsia="es-ES"/>
        </w:rPr>
      </w:pPr>
      <w:hyperlink w:anchor="_Toc243480112" w:history="1">
        <w:r w:rsidRPr="00EC2B71">
          <w:rPr>
            <w:rStyle w:val="Hipervnculo"/>
            <w:noProof/>
          </w:rPr>
          <w:t>4 PostHog Exports and Limits of Historical Usage</w:t>
        </w:r>
        <w:r>
          <w:rPr>
            <w:noProof/>
            <w:webHidden/>
          </w:rPr>
          <w:tab/>
        </w:r>
        <w:r>
          <w:rPr>
            <w:noProof/>
            <w:webHidden/>
          </w:rPr>
          <w:fldChar w:fldCharType="begin"/>
        </w:r>
        <w:r>
          <w:rPr>
            <w:noProof/>
            <w:webHidden/>
          </w:rPr>
          <w:instrText xml:space="preserve"> PAGEREF _Toc243480112 \h </w:instrText>
        </w:r>
        <w:r>
          <w:rPr>
            <w:noProof/>
            <w:webHidden/>
          </w:rPr>
        </w:r>
        <w:r>
          <w:rPr>
            <w:noProof/>
            <w:webHidden/>
          </w:rPr>
          <w:fldChar w:fldCharType="separate"/>
        </w:r>
        <w:r>
          <w:rPr>
            <w:noProof/>
            <w:webHidden/>
          </w:rPr>
          <w:t>7</w:t>
        </w:r>
        <w:r>
          <w:rPr>
            <w:noProof/>
            <w:webHidden/>
          </w:rPr>
          <w:fldChar w:fldCharType="end"/>
        </w:r>
      </w:hyperlink>
    </w:p>
    <w:p w14:paraId="0A0559DA" w14:textId="1D2E53E9" w:rsidR="00924C1B" w:rsidRDefault="00924C1B">
      <w:pPr>
        <w:pStyle w:val="TDC3"/>
        <w:tabs>
          <w:tab w:val="right" w:leader="dot" w:pos="8302"/>
        </w:tabs>
        <w:rPr>
          <w:rFonts w:asciiTheme="minorHAnsi" w:eastAsiaTheme="minorEastAsia" w:hAnsiTheme="minorHAnsi"/>
          <w:noProof/>
          <w:sz w:val="22"/>
          <w:szCs w:val="22"/>
          <w:lang w:val="es-ES" w:eastAsia="es-ES"/>
        </w:rPr>
      </w:pPr>
      <w:hyperlink w:anchor="_Toc243480113" w:history="1">
        <w:r w:rsidRPr="00EC2B71">
          <w:rPr>
            <w:rStyle w:val="Hipervnculo"/>
            <w:noProof/>
          </w:rPr>
          <w:t>5 Delivery Decisions Required from Lasith</w:t>
        </w:r>
        <w:r>
          <w:rPr>
            <w:noProof/>
            <w:webHidden/>
          </w:rPr>
          <w:tab/>
        </w:r>
        <w:r>
          <w:rPr>
            <w:noProof/>
            <w:webHidden/>
          </w:rPr>
          <w:fldChar w:fldCharType="begin"/>
        </w:r>
        <w:r>
          <w:rPr>
            <w:noProof/>
            <w:webHidden/>
          </w:rPr>
          <w:instrText xml:space="preserve"> PAGEREF _Toc243480113 \h </w:instrText>
        </w:r>
        <w:r>
          <w:rPr>
            <w:noProof/>
            <w:webHidden/>
          </w:rPr>
        </w:r>
        <w:r>
          <w:rPr>
            <w:noProof/>
            <w:webHidden/>
          </w:rPr>
          <w:fldChar w:fldCharType="separate"/>
        </w:r>
        <w:r>
          <w:rPr>
            <w:noProof/>
            <w:webHidden/>
          </w:rPr>
          <w:t>8</w:t>
        </w:r>
        <w:r>
          <w:rPr>
            <w:noProof/>
            <w:webHidden/>
          </w:rPr>
          <w:fldChar w:fldCharType="end"/>
        </w:r>
      </w:hyperlink>
    </w:p>
    <w:p w14:paraId="0A54B7F2" w14:textId="7006E818" w:rsidR="00924C1B" w:rsidRDefault="00924C1B">
      <w:pPr>
        <w:pStyle w:val="TDC3"/>
        <w:tabs>
          <w:tab w:val="right" w:leader="dot" w:pos="8302"/>
        </w:tabs>
        <w:rPr>
          <w:rFonts w:asciiTheme="minorHAnsi" w:eastAsiaTheme="minorEastAsia" w:hAnsiTheme="minorHAnsi"/>
          <w:noProof/>
          <w:sz w:val="22"/>
          <w:szCs w:val="22"/>
          <w:lang w:val="es-ES" w:eastAsia="es-ES"/>
        </w:rPr>
      </w:pPr>
      <w:hyperlink w:anchor="_Toc243480114" w:history="1">
        <w:r w:rsidRPr="00EC2B71">
          <w:rPr>
            <w:rStyle w:val="Hipervnculo"/>
            <w:noProof/>
          </w:rPr>
          <w:t>6 Package Status and Remaining Actions</w:t>
        </w:r>
        <w:r>
          <w:rPr>
            <w:noProof/>
            <w:webHidden/>
          </w:rPr>
          <w:tab/>
        </w:r>
        <w:r>
          <w:rPr>
            <w:noProof/>
            <w:webHidden/>
          </w:rPr>
          <w:fldChar w:fldCharType="begin"/>
        </w:r>
        <w:r>
          <w:rPr>
            <w:noProof/>
            <w:webHidden/>
          </w:rPr>
          <w:instrText xml:space="preserve"> PAGEREF _Toc243480114 \h </w:instrText>
        </w:r>
        <w:r>
          <w:rPr>
            <w:noProof/>
            <w:webHidden/>
          </w:rPr>
        </w:r>
        <w:r>
          <w:rPr>
            <w:noProof/>
            <w:webHidden/>
          </w:rPr>
          <w:fldChar w:fldCharType="separate"/>
        </w:r>
        <w:r>
          <w:rPr>
            <w:noProof/>
            <w:webHidden/>
          </w:rPr>
          <w:t>9</w:t>
        </w:r>
        <w:r>
          <w:rPr>
            <w:noProof/>
            <w:webHidden/>
          </w:rPr>
          <w:fldChar w:fldCharType="end"/>
        </w:r>
      </w:hyperlink>
    </w:p>
    <w:p w14:paraId="6F2177C8" w14:textId="3BFB1241" w:rsidR="00924C1B" w:rsidRDefault="00924C1B">
      <w:pPr>
        <w:pStyle w:val="TDC3"/>
        <w:tabs>
          <w:tab w:val="right" w:leader="dot" w:pos="8302"/>
        </w:tabs>
        <w:rPr>
          <w:rFonts w:asciiTheme="minorHAnsi" w:eastAsiaTheme="minorEastAsia" w:hAnsiTheme="minorHAnsi"/>
          <w:noProof/>
          <w:sz w:val="22"/>
          <w:szCs w:val="22"/>
          <w:lang w:val="es-ES" w:eastAsia="es-ES"/>
        </w:rPr>
      </w:pPr>
      <w:hyperlink w:anchor="_Toc243480115" w:history="1">
        <w:r w:rsidRPr="00EC2B71">
          <w:rPr>
            <w:rStyle w:val="Hipervnculo"/>
            <w:noProof/>
          </w:rPr>
          <w:t>7 Sources and Supporting Evidence</w:t>
        </w:r>
        <w:r>
          <w:rPr>
            <w:noProof/>
            <w:webHidden/>
          </w:rPr>
          <w:tab/>
        </w:r>
        <w:r>
          <w:rPr>
            <w:noProof/>
            <w:webHidden/>
          </w:rPr>
          <w:fldChar w:fldCharType="begin"/>
        </w:r>
        <w:r>
          <w:rPr>
            <w:noProof/>
            <w:webHidden/>
          </w:rPr>
          <w:instrText xml:space="preserve"> PAGEREF _Toc243480115 \h </w:instrText>
        </w:r>
        <w:r>
          <w:rPr>
            <w:noProof/>
            <w:webHidden/>
          </w:rPr>
        </w:r>
        <w:r>
          <w:rPr>
            <w:noProof/>
            <w:webHidden/>
          </w:rPr>
          <w:fldChar w:fldCharType="separate"/>
        </w:r>
        <w:r>
          <w:rPr>
            <w:noProof/>
            <w:webHidden/>
          </w:rPr>
          <w:t>10</w:t>
        </w:r>
        <w:r>
          <w:rPr>
            <w:noProof/>
            <w:webHidden/>
          </w:rPr>
          <w:fldChar w:fldCharType="end"/>
        </w:r>
      </w:hyperlink>
    </w:p>
    <w:p w14:paraId="0F907390" w14:textId="71FD2EB0" w:rsidR="00AF315D" w:rsidRDefault="00BC6908">
      <w:r>
        <w:fldChar w:fldCharType="end"/>
      </w:r>
    </w:p>
    <w:p w14:paraId="33AE12C3" w14:textId="77777777" w:rsidR="00AF315D" w:rsidRDefault="00BC6908">
      <w:pPr>
        <w:spacing w:after="140" w:line="276" w:lineRule="auto"/>
      </w:pPr>
      <w:r>
        <w:t>Monitoring period: 1 March-31 August 2026. Revision 3: 21 October 2026.</w:t>
      </w:r>
    </w:p>
    <w:p w14:paraId="38128634" w14:textId="77777777" w:rsidR="00AF315D" w:rsidRDefault="00BC6908">
      <w:pPr>
        <w:spacing w:after="140" w:line="276" w:lineRule="auto"/>
      </w:pPr>
      <w:r>
        <w:t>Prepared for internal review and preparation of the response to Lasith. Responsible-party declarations are distinguished from measured records. No formal RURACTIVE approval is asserted.</w:t>
      </w:r>
    </w:p>
    <w:p w14:paraId="39B337AE" w14:textId="77777777" w:rsidR="00AF315D" w:rsidRDefault="00AF315D">
      <w:pPr>
        <w:sectPr w:rsidR="00AF315D" w:rsidSect="002038FF">
          <w:headerReference w:type="default" r:id="rId18"/>
          <w:footerReference w:type="default" r:id="rId19"/>
          <w:headerReference w:type="first" r:id="rId20"/>
          <w:footerReference w:type="first" r:id="rId21"/>
          <w:pgSz w:w="11906" w:h="16838"/>
          <w:pgMar w:top="1440" w:right="1797" w:bottom="1440" w:left="1797" w:header="720" w:footer="720" w:gutter="0"/>
          <w:pgBorders w:offsetFrom="page">
            <w:bottom w:val="single" w:sz="8" w:space="24" w:color="000000"/>
          </w:pgBorders>
          <w:pgNumType w:fmt="lowerRoman" w:start="1"/>
          <w:cols w:space="720"/>
          <w:docGrid w:linePitch="360"/>
        </w:sectPr>
      </w:pPr>
    </w:p>
    <w:p w14:paraId="2B6BF04B" w14:textId="77777777" w:rsidR="00AF315D" w:rsidRDefault="00BC6908">
      <w:pPr>
        <w:pStyle w:val="Ttulo3"/>
        <w:spacing w:before="0" w:after="160"/>
      </w:pPr>
      <w:bookmarkStart w:id="0" w:name="_Toc243480109"/>
      <w:r>
        <w:lastRenderedPageBreak/>
        <w:t>1 Decision and Period Results</w:t>
      </w:r>
      <w:bookmarkEnd w:id="0"/>
    </w:p>
    <w:p w14:paraId="66EE3E2B" w14:textId="77777777" w:rsidR="00AF315D" w:rsidRDefault="00BC6908">
      <w:pPr>
        <w:spacing w:after="140" w:line="276" w:lineRule="auto"/>
      </w:pPr>
      <w:r>
        <w:t>Three indicators now have declared numerical results for March-August: NBS15.1 = 0 persons trained; RRTG.SC-01b = 0 eligible external citizen-engagement participants; and NBS24.18 = 0 new attributable jobs. These are confirmations supplied by the ANFORA responsible on behalf of Evenor-Tech. They are not independently measured attendance or employment results, and no signed certificate or declaration has been supplied. The job declaration does not settle the official annual outcome. [E01, E22]</w:t>
      </w:r>
    </w:p>
    <w:p w14:paraId="5CD3D80D" w14:textId="77777777" w:rsidR="00AF315D" w:rsidRDefault="00BC6908">
      <w:pPr>
        <w:spacing w:after="140" w:line="276" w:lineRule="auto"/>
      </w:pPr>
      <w:r>
        <w:t>Six numerical results remain unavailable. The PostHog exports record internal tests, not external adoption. Hybrid (AMT + API) was proposed and accepted on 2 September 2026; per-indicator allocation and technical integration remain pending, with auto_accept blank. The package supports internal review and preparation of the response to Lasith; it is not formally approved by RURACTIVE. [E15, E22-E25]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20"/>
        <w:gridCol w:w="3040"/>
        <w:gridCol w:w="3680"/>
      </w:tblGrid>
      <w:tr w:rsidR="00AF315D" w14:paraId="6392D281" w14:textId="77777777">
        <w:trPr>
          <w:cantSplit/>
          <w:tblHeader/>
          <w:jc w:val="center"/>
        </w:trPr>
        <w:tc>
          <w:tcPr>
            <w:tcW w:w="1620" w:type="dxa"/>
            <w:shd w:val="clear" w:color="auto" w:fill="156082"/>
            <w:tcMar>
              <w:top w:w="85" w:type="dxa"/>
              <w:left w:w="100" w:type="dxa"/>
              <w:bottom w:w="85" w:type="dxa"/>
              <w:right w:w="100" w:type="dxa"/>
            </w:tcMar>
            <w:vAlign w:val="center"/>
          </w:tcPr>
          <w:p w14:paraId="46146229" w14:textId="77777777" w:rsidR="00AF315D" w:rsidRDefault="00BC6908">
            <w:pPr>
              <w:spacing w:after="0" w:line="240" w:lineRule="auto"/>
              <w:jc w:val="left"/>
            </w:pPr>
            <w:r>
              <w:rPr>
                <w:b/>
                <w:color w:val="FFFFFF"/>
                <w:sz w:val="21"/>
              </w:rPr>
              <w:t>Code</w:t>
            </w:r>
          </w:p>
        </w:tc>
        <w:tc>
          <w:tcPr>
            <w:tcW w:w="3040" w:type="dxa"/>
            <w:shd w:val="clear" w:color="auto" w:fill="156082"/>
            <w:tcMar>
              <w:top w:w="85" w:type="dxa"/>
              <w:left w:w="100" w:type="dxa"/>
              <w:bottom w:w="85" w:type="dxa"/>
              <w:right w:w="100" w:type="dxa"/>
            </w:tcMar>
            <w:vAlign w:val="center"/>
          </w:tcPr>
          <w:p w14:paraId="170686E7" w14:textId="77777777" w:rsidR="00AF315D" w:rsidRDefault="00BC6908">
            <w:pPr>
              <w:spacing w:after="0" w:line="240" w:lineRule="auto"/>
              <w:jc w:val="left"/>
            </w:pPr>
            <w:r>
              <w:rPr>
                <w:b/>
                <w:color w:val="FFFFFF"/>
                <w:sz w:val="21"/>
              </w:rPr>
              <w:t>Period result</w:t>
            </w:r>
          </w:p>
        </w:tc>
        <w:tc>
          <w:tcPr>
            <w:tcW w:w="3680" w:type="dxa"/>
            <w:shd w:val="clear" w:color="auto" w:fill="156082"/>
            <w:tcMar>
              <w:top w:w="85" w:type="dxa"/>
              <w:left w:w="100" w:type="dxa"/>
              <w:bottom w:w="85" w:type="dxa"/>
              <w:right w:w="100" w:type="dxa"/>
            </w:tcMar>
            <w:vAlign w:val="center"/>
          </w:tcPr>
          <w:p w14:paraId="707214BF" w14:textId="77777777" w:rsidR="00AF315D" w:rsidRDefault="00BC6908">
            <w:pPr>
              <w:spacing w:after="0" w:line="240" w:lineRule="auto"/>
              <w:jc w:val="left"/>
            </w:pPr>
            <w:r>
              <w:rPr>
                <w:b/>
                <w:color w:val="FFFFFF"/>
                <w:sz w:val="21"/>
              </w:rPr>
              <w:t>Evidence status</w:t>
            </w:r>
          </w:p>
        </w:tc>
      </w:tr>
      <w:tr w:rsidR="00AF315D" w14:paraId="073E5E0D" w14:textId="77777777">
        <w:trPr>
          <w:cantSplit/>
          <w:jc w:val="center"/>
        </w:trPr>
        <w:tc>
          <w:tcPr>
            <w:tcW w:w="1620" w:type="dxa"/>
            <w:shd w:val="clear" w:color="auto" w:fill="FFFFFF"/>
            <w:tcMar>
              <w:top w:w="85" w:type="dxa"/>
              <w:left w:w="100" w:type="dxa"/>
              <w:bottom w:w="85" w:type="dxa"/>
              <w:right w:w="100" w:type="dxa"/>
            </w:tcMar>
            <w:vAlign w:val="center"/>
          </w:tcPr>
          <w:p w14:paraId="12A28717" w14:textId="77777777" w:rsidR="00AF315D" w:rsidRDefault="00BC6908">
            <w:pPr>
              <w:spacing w:after="0" w:line="240" w:lineRule="auto"/>
              <w:jc w:val="left"/>
            </w:pPr>
            <w:r>
              <w:rPr>
                <w:color w:val="000000"/>
                <w:sz w:val="21"/>
              </w:rPr>
              <w:t>NBS4.20</w:t>
            </w:r>
          </w:p>
        </w:tc>
        <w:tc>
          <w:tcPr>
            <w:tcW w:w="3040" w:type="dxa"/>
            <w:shd w:val="clear" w:color="auto" w:fill="FFFFFF"/>
            <w:tcMar>
              <w:top w:w="85" w:type="dxa"/>
              <w:left w:w="100" w:type="dxa"/>
              <w:bottom w:w="85" w:type="dxa"/>
              <w:right w:w="100" w:type="dxa"/>
            </w:tcMar>
            <w:vAlign w:val="center"/>
          </w:tcPr>
          <w:p w14:paraId="00254A3C" w14:textId="77777777" w:rsidR="00AF315D" w:rsidRDefault="00BC6908">
            <w:pPr>
              <w:spacing w:after="0" w:line="240" w:lineRule="auto"/>
              <w:jc w:val="left"/>
            </w:pPr>
            <w:r>
              <w:rPr>
                <w:color w:val="000000"/>
                <w:sz w:val="21"/>
              </w:rPr>
              <w:t>Not measured</w:t>
            </w:r>
          </w:p>
        </w:tc>
        <w:tc>
          <w:tcPr>
            <w:tcW w:w="3680" w:type="dxa"/>
            <w:shd w:val="clear" w:color="auto" w:fill="FFFFFF"/>
            <w:tcMar>
              <w:top w:w="85" w:type="dxa"/>
              <w:left w:w="100" w:type="dxa"/>
              <w:bottom w:w="85" w:type="dxa"/>
              <w:right w:w="100" w:type="dxa"/>
            </w:tcMar>
            <w:vAlign w:val="center"/>
          </w:tcPr>
          <w:p w14:paraId="319DA136" w14:textId="77777777" w:rsidR="00AF315D" w:rsidRDefault="00BC6908">
            <w:pPr>
              <w:spacing w:after="0" w:line="240" w:lineRule="auto"/>
              <w:jc w:val="left"/>
            </w:pPr>
            <w:r>
              <w:rPr>
                <w:color w:val="000000"/>
                <w:sz w:val="21"/>
              </w:rPr>
              <w:t>No matched WEI+ measurement.</w:t>
            </w:r>
          </w:p>
        </w:tc>
      </w:tr>
      <w:tr w:rsidR="00AF315D" w14:paraId="77873827" w14:textId="77777777">
        <w:trPr>
          <w:cantSplit/>
          <w:jc w:val="center"/>
        </w:trPr>
        <w:tc>
          <w:tcPr>
            <w:tcW w:w="1620" w:type="dxa"/>
            <w:shd w:val="clear" w:color="auto" w:fill="F2F6F8"/>
            <w:tcMar>
              <w:top w:w="85" w:type="dxa"/>
              <w:left w:w="100" w:type="dxa"/>
              <w:bottom w:w="85" w:type="dxa"/>
              <w:right w:w="100" w:type="dxa"/>
            </w:tcMar>
            <w:vAlign w:val="center"/>
          </w:tcPr>
          <w:p w14:paraId="7EAADAE1" w14:textId="77777777" w:rsidR="00AF315D" w:rsidRDefault="00BC6908">
            <w:pPr>
              <w:spacing w:after="0" w:line="240" w:lineRule="auto"/>
              <w:jc w:val="left"/>
            </w:pPr>
            <w:r>
              <w:rPr>
                <w:color w:val="000000"/>
                <w:sz w:val="21"/>
              </w:rPr>
              <w:t>NBS15.1</w:t>
            </w:r>
          </w:p>
        </w:tc>
        <w:tc>
          <w:tcPr>
            <w:tcW w:w="3040" w:type="dxa"/>
            <w:shd w:val="clear" w:color="auto" w:fill="F2F6F8"/>
            <w:tcMar>
              <w:top w:w="85" w:type="dxa"/>
              <w:left w:w="100" w:type="dxa"/>
              <w:bottom w:w="85" w:type="dxa"/>
              <w:right w:w="100" w:type="dxa"/>
            </w:tcMar>
            <w:vAlign w:val="center"/>
          </w:tcPr>
          <w:p w14:paraId="7B9BF8D9" w14:textId="77777777" w:rsidR="00AF315D" w:rsidRDefault="00BC6908">
            <w:pPr>
              <w:spacing w:after="0" w:line="240" w:lineRule="auto"/>
              <w:jc w:val="left"/>
            </w:pPr>
            <w:r>
              <w:rPr>
                <w:color w:val="000000"/>
                <w:sz w:val="21"/>
              </w:rPr>
              <w:t>0 persons trained</w:t>
            </w:r>
          </w:p>
        </w:tc>
        <w:tc>
          <w:tcPr>
            <w:tcW w:w="3680" w:type="dxa"/>
            <w:shd w:val="clear" w:color="auto" w:fill="F2F6F8"/>
            <w:tcMar>
              <w:top w:w="85" w:type="dxa"/>
              <w:left w:w="100" w:type="dxa"/>
              <w:bottom w:w="85" w:type="dxa"/>
              <w:right w:w="100" w:type="dxa"/>
            </w:tcMar>
            <w:vAlign w:val="center"/>
          </w:tcPr>
          <w:p w14:paraId="29A69AA3" w14:textId="77777777" w:rsidR="00AF315D" w:rsidRDefault="00BC6908">
            <w:pPr>
              <w:spacing w:after="0" w:line="240" w:lineRule="auto"/>
              <w:jc w:val="left"/>
            </w:pPr>
            <w:r>
              <w:rPr>
                <w:color w:val="000000"/>
                <w:sz w:val="21"/>
              </w:rPr>
              <w:t>Responsible-party declaration; no independent validation.</w:t>
            </w:r>
          </w:p>
        </w:tc>
      </w:tr>
      <w:tr w:rsidR="00AF315D" w14:paraId="2371407C" w14:textId="77777777">
        <w:trPr>
          <w:cantSplit/>
          <w:jc w:val="center"/>
        </w:trPr>
        <w:tc>
          <w:tcPr>
            <w:tcW w:w="1620" w:type="dxa"/>
            <w:shd w:val="clear" w:color="auto" w:fill="FFFFFF"/>
            <w:tcMar>
              <w:top w:w="85" w:type="dxa"/>
              <w:left w:w="100" w:type="dxa"/>
              <w:bottom w:w="85" w:type="dxa"/>
              <w:right w:w="100" w:type="dxa"/>
            </w:tcMar>
            <w:vAlign w:val="center"/>
          </w:tcPr>
          <w:p w14:paraId="19822150" w14:textId="77777777" w:rsidR="00AF315D" w:rsidRDefault="00BC6908">
            <w:pPr>
              <w:spacing w:after="0" w:line="240" w:lineRule="auto"/>
              <w:jc w:val="left"/>
            </w:pPr>
            <w:r>
              <w:rPr>
                <w:color w:val="000000"/>
                <w:sz w:val="21"/>
              </w:rPr>
              <w:t>NBS24.18</w:t>
            </w:r>
          </w:p>
        </w:tc>
        <w:tc>
          <w:tcPr>
            <w:tcW w:w="3040" w:type="dxa"/>
            <w:shd w:val="clear" w:color="auto" w:fill="FFFFFF"/>
            <w:tcMar>
              <w:top w:w="85" w:type="dxa"/>
              <w:left w:w="100" w:type="dxa"/>
              <w:bottom w:w="85" w:type="dxa"/>
              <w:right w:w="100" w:type="dxa"/>
            </w:tcMar>
            <w:vAlign w:val="center"/>
          </w:tcPr>
          <w:p w14:paraId="3044B854" w14:textId="77777777" w:rsidR="00AF315D" w:rsidRDefault="00BC6908">
            <w:pPr>
              <w:spacing w:after="0" w:line="240" w:lineRule="auto"/>
              <w:jc w:val="left"/>
            </w:pPr>
            <w:r>
              <w:rPr>
                <w:color w:val="000000"/>
                <w:sz w:val="21"/>
              </w:rPr>
              <w:t>0 new jobs, March-August only</w:t>
            </w:r>
          </w:p>
        </w:tc>
        <w:tc>
          <w:tcPr>
            <w:tcW w:w="3680" w:type="dxa"/>
            <w:shd w:val="clear" w:color="auto" w:fill="FFFFFF"/>
            <w:tcMar>
              <w:top w:w="85" w:type="dxa"/>
              <w:left w:w="100" w:type="dxa"/>
              <w:bottom w:w="85" w:type="dxa"/>
              <w:right w:w="100" w:type="dxa"/>
            </w:tcMar>
            <w:vAlign w:val="center"/>
          </w:tcPr>
          <w:p w14:paraId="5760462E" w14:textId="77777777" w:rsidR="00AF315D" w:rsidRDefault="00BC6908">
            <w:pPr>
              <w:spacing w:after="0" w:line="240" w:lineRule="auto"/>
              <w:jc w:val="left"/>
            </w:pPr>
            <w:r>
              <w:rPr>
                <w:color w:val="000000"/>
                <w:sz w:val="21"/>
              </w:rPr>
              <w:t>Responsible-party declaration; annual result open.</w:t>
            </w:r>
          </w:p>
        </w:tc>
      </w:tr>
      <w:tr w:rsidR="00AF315D" w14:paraId="0BE630F8" w14:textId="77777777">
        <w:trPr>
          <w:cantSplit/>
          <w:jc w:val="center"/>
        </w:trPr>
        <w:tc>
          <w:tcPr>
            <w:tcW w:w="1620" w:type="dxa"/>
            <w:shd w:val="clear" w:color="auto" w:fill="F2F6F8"/>
            <w:tcMar>
              <w:top w:w="85" w:type="dxa"/>
              <w:left w:w="100" w:type="dxa"/>
              <w:bottom w:w="85" w:type="dxa"/>
              <w:right w:w="100" w:type="dxa"/>
            </w:tcMar>
            <w:vAlign w:val="center"/>
          </w:tcPr>
          <w:p w14:paraId="4AC38C7E" w14:textId="77777777" w:rsidR="00AF315D" w:rsidRDefault="00BC6908">
            <w:pPr>
              <w:spacing w:after="0" w:line="240" w:lineRule="auto"/>
              <w:jc w:val="left"/>
            </w:pPr>
            <w:r>
              <w:rPr>
                <w:color w:val="000000"/>
                <w:sz w:val="21"/>
              </w:rPr>
              <w:t>RRTG.SC-01b</w:t>
            </w:r>
          </w:p>
        </w:tc>
        <w:tc>
          <w:tcPr>
            <w:tcW w:w="3040" w:type="dxa"/>
            <w:shd w:val="clear" w:color="auto" w:fill="F2F6F8"/>
            <w:tcMar>
              <w:top w:w="85" w:type="dxa"/>
              <w:left w:w="100" w:type="dxa"/>
              <w:bottom w:w="85" w:type="dxa"/>
              <w:right w:w="100" w:type="dxa"/>
            </w:tcMar>
            <w:vAlign w:val="center"/>
          </w:tcPr>
          <w:p w14:paraId="4AF1A77F" w14:textId="77777777" w:rsidR="00AF315D" w:rsidRDefault="00BC6908">
            <w:pPr>
              <w:spacing w:after="0" w:line="240" w:lineRule="auto"/>
              <w:jc w:val="left"/>
            </w:pPr>
            <w:r>
              <w:rPr>
                <w:color w:val="000000"/>
                <w:sz w:val="21"/>
              </w:rPr>
              <w:t>0 eligible external participants</w:t>
            </w:r>
          </w:p>
        </w:tc>
        <w:tc>
          <w:tcPr>
            <w:tcW w:w="3680" w:type="dxa"/>
            <w:shd w:val="clear" w:color="auto" w:fill="F2F6F8"/>
            <w:tcMar>
              <w:top w:w="85" w:type="dxa"/>
              <w:left w:w="100" w:type="dxa"/>
              <w:bottom w:w="85" w:type="dxa"/>
              <w:right w:w="100" w:type="dxa"/>
            </w:tcMar>
            <w:vAlign w:val="center"/>
          </w:tcPr>
          <w:p w14:paraId="33B3984A" w14:textId="77777777" w:rsidR="00AF315D" w:rsidRDefault="00BC6908">
            <w:pPr>
              <w:spacing w:after="0" w:line="240" w:lineRule="auto"/>
              <w:jc w:val="left"/>
            </w:pPr>
            <w:r>
              <w:rPr>
                <w:color w:val="000000"/>
                <w:sz w:val="21"/>
              </w:rPr>
              <w:t>Responsible-party declaration; institutional activity eligibility pending acceptance by Lasith.</w:t>
            </w:r>
          </w:p>
        </w:tc>
      </w:tr>
      <w:tr w:rsidR="00AF315D" w14:paraId="165A877A" w14:textId="77777777">
        <w:trPr>
          <w:cantSplit/>
          <w:jc w:val="center"/>
        </w:trPr>
        <w:tc>
          <w:tcPr>
            <w:tcW w:w="1620" w:type="dxa"/>
            <w:shd w:val="clear" w:color="auto" w:fill="FFFFFF"/>
            <w:tcMar>
              <w:top w:w="85" w:type="dxa"/>
              <w:left w:w="100" w:type="dxa"/>
              <w:bottom w:w="85" w:type="dxa"/>
              <w:right w:w="100" w:type="dxa"/>
            </w:tcMar>
            <w:vAlign w:val="center"/>
          </w:tcPr>
          <w:p w14:paraId="18F144A8" w14:textId="77777777" w:rsidR="00AF315D" w:rsidRDefault="00BC6908">
            <w:pPr>
              <w:spacing w:after="0" w:line="240" w:lineRule="auto"/>
              <w:jc w:val="left"/>
            </w:pPr>
            <w:r>
              <w:rPr>
                <w:color w:val="000000"/>
                <w:sz w:val="21"/>
              </w:rPr>
              <w:t>INNOV_002</w:t>
            </w:r>
          </w:p>
        </w:tc>
        <w:tc>
          <w:tcPr>
            <w:tcW w:w="3040" w:type="dxa"/>
            <w:shd w:val="clear" w:color="auto" w:fill="FFFFFF"/>
            <w:tcMar>
              <w:top w:w="85" w:type="dxa"/>
              <w:left w:w="100" w:type="dxa"/>
              <w:bottom w:w="85" w:type="dxa"/>
              <w:right w:w="100" w:type="dxa"/>
            </w:tcMar>
            <w:vAlign w:val="center"/>
          </w:tcPr>
          <w:p w14:paraId="7AE39B19" w14:textId="77777777" w:rsidR="00AF315D" w:rsidRDefault="00BC6908">
            <w:pPr>
              <w:spacing w:after="0" w:line="240" w:lineRule="auto"/>
              <w:jc w:val="left"/>
            </w:pPr>
            <w:r>
              <w:rPr>
                <w:color w:val="000000"/>
                <w:sz w:val="21"/>
              </w:rPr>
              <w:t>Not measured</w:t>
            </w:r>
          </w:p>
        </w:tc>
        <w:tc>
          <w:tcPr>
            <w:tcW w:w="3680" w:type="dxa"/>
            <w:shd w:val="clear" w:color="auto" w:fill="FFFFFF"/>
            <w:tcMar>
              <w:top w:w="85" w:type="dxa"/>
              <w:left w:w="100" w:type="dxa"/>
              <w:bottom w:w="85" w:type="dxa"/>
              <w:right w:w="100" w:type="dxa"/>
            </w:tcMar>
            <w:vAlign w:val="center"/>
          </w:tcPr>
          <w:p w14:paraId="08C20585" w14:textId="77777777" w:rsidR="00AF315D" w:rsidRDefault="00BC6908">
            <w:pPr>
              <w:spacing w:after="0" w:line="240" w:lineRule="auto"/>
              <w:jc w:val="left"/>
            </w:pPr>
            <w:r>
              <w:rPr>
                <w:color w:val="000000"/>
                <w:sz w:val="21"/>
              </w:rPr>
              <w:t>No irrigation electricity/ha measurements.</w:t>
            </w:r>
          </w:p>
        </w:tc>
      </w:tr>
      <w:tr w:rsidR="00AF315D" w14:paraId="30A3E546" w14:textId="77777777">
        <w:trPr>
          <w:cantSplit/>
          <w:jc w:val="center"/>
        </w:trPr>
        <w:tc>
          <w:tcPr>
            <w:tcW w:w="1620" w:type="dxa"/>
            <w:shd w:val="clear" w:color="auto" w:fill="F2F6F8"/>
            <w:tcMar>
              <w:top w:w="85" w:type="dxa"/>
              <w:left w:w="100" w:type="dxa"/>
              <w:bottom w:w="85" w:type="dxa"/>
              <w:right w:w="100" w:type="dxa"/>
            </w:tcMar>
            <w:vAlign w:val="center"/>
          </w:tcPr>
          <w:p w14:paraId="2A0C03BA" w14:textId="77777777" w:rsidR="00AF315D" w:rsidRDefault="00BC6908">
            <w:pPr>
              <w:spacing w:after="0" w:line="240" w:lineRule="auto"/>
              <w:jc w:val="left"/>
            </w:pPr>
            <w:r>
              <w:rPr>
                <w:color w:val="000000"/>
                <w:sz w:val="21"/>
              </w:rPr>
              <w:t>INNOV_003</w:t>
            </w:r>
          </w:p>
        </w:tc>
        <w:tc>
          <w:tcPr>
            <w:tcW w:w="3040" w:type="dxa"/>
            <w:shd w:val="clear" w:color="auto" w:fill="F2F6F8"/>
            <w:tcMar>
              <w:top w:w="85" w:type="dxa"/>
              <w:left w:w="100" w:type="dxa"/>
              <w:bottom w:w="85" w:type="dxa"/>
              <w:right w:w="100" w:type="dxa"/>
            </w:tcMar>
            <w:vAlign w:val="center"/>
          </w:tcPr>
          <w:p w14:paraId="29F7B716" w14:textId="77777777" w:rsidR="00AF315D" w:rsidRDefault="00BC6908">
            <w:pPr>
              <w:spacing w:after="0" w:line="240" w:lineRule="auto"/>
              <w:jc w:val="left"/>
            </w:pPr>
            <w:r>
              <w:rPr>
                <w:color w:val="000000"/>
                <w:sz w:val="21"/>
              </w:rPr>
              <w:t>External usage not verified</w:t>
            </w:r>
          </w:p>
        </w:tc>
        <w:tc>
          <w:tcPr>
            <w:tcW w:w="3680" w:type="dxa"/>
            <w:shd w:val="clear" w:color="auto" w:fill="F2F6F8"/>
            <w:tcMar>
              <w:top w:w="85" w:type="dxa"/>
              <w:left w:w="100" w:type="dxa"/>
              <w:bottom w:w="85" w:type="dxa"/>
              <w:right w:w="100" w:type="dxa"/>
            </w:tcMar>
            <w:vAlign w:val="center"/>
          </w:tcPr>
          <w:p w14:paraId="1F378988" w14:textId="77777777" w:rsidR="00AF315D" w:rsidRDefault="00BC6908">
            <w:pPr>
              <w:spacing w:after="0" w:line="240" w:lineRule="auto"/>
              <w:jc w:val="left"/>
            </w:pPr>
            <w:r>
              <w:rPr>
                <w:color w:val="000000"/>
                <w:sz w:val="21"/>
              </w:rPr>
              <w:t>Observed PostHog activity classified as internal tests.</w:t>
            </w:r>
          </w:p>
        </w:tc>
      </w:tr>
      <w:tr w:rsidR="00AF315D" w14:paraId="0F82FE4C" w14:textId="77777777">
        <w:trPr>
          <w:cantSplit/>
          <w:jc w:val="center"/>
        </w:trPr>
        <w:tc>
          <w:tcPr>
            <w:tcW w:w="1620" w:type="dxa"/>
            <w:shd w:val="clear" w:color="auto" w:fill="FFFFFF"/>
            <w:tcMar>
              <w:top w:w="85" w:type="dxa"/>
              <w:left w:w="100" w:type="dxa"/>
              <w:bottom w:w="85" w:type="dxa"/>
              <w:right w:w="100" w:type="dxa"/>
            </w:tcMar>
            <w:vAlign w:val="center"/>
          </w:tcPr>
          <w:p w14:paraId="1A9F711E" w14:textId="77777777" w:rsidR="00AF315D" w:rsidRDefault="00BC6908">
            <w:pPr>
              <w:spacing w:after="0" w:line="240" w:lineRule="auto"/>
              <w:jc w:val="left"/>
            </w:pPr>
            <w:r>
              <w:rPr>
                <w:color w:val="000000"/>
                <w:sz w:val="21"/>
              </w:rPr>
              <w:t>INNOV_004</w:t>
            </w:r>
          </w:p>
        </w:tc>
        <w:tc>
          <w:tcPr>
            <w:tcW w:w="3040" w:type="dxa"/>
            <w:shd w:val="clear" w:color="auto" w:fill="FFFFFF"/>
            <w:tcMar>
              <w:top w:w="85" w:type="dxa"/>
              <w:left w:w="100" w:type="dxa"/>
              <w:bottom w:w="85" w:type="dxa"/>
              <w:right w:w="100" w:type="dxa"/>
            </w:tcMar>
            <w:vAlign w:val="center"/>
          </w:tcPr>
          <w:p w14:paraId="71C358B2" w14:textId="77777777" w:rsidR="00AF315D" w:rsidRDefault="00BC6908">
            <w:pPr>
              <w:spacing w:after="0" w:line="240" w:lineRule="auto"/>
              <w:jc w:val="left"/>
            </w:pPr>
            <w:r>
              <w:rPr>
                <w:color w:val="000000"/>
                <w:sz w:val="21"/>
              </w:rPr>
              <w:t>Not measured</w:t>
            </w:r>
          </w:p>
        </w:tc>
        <w:tc>
          <w:tcPr>
            <w:tcW w:w="3680" w:type="dxa"/>
            <w:shd w:val="clear" w:color="auto" w:fill="FFFFFF"/>
            <w:tcMar>
              <w:top w:w="85" w:type="dxa"/>
              <w:left w:w="100" w:type="dxa"/>
              <w:bottom w:w="85" w:type="dxa"/>
              <w:right w:w="100" w:type="dxa"/>
            </w:tcMar>
            <w:vAlign w:val="center"/>
          </w:tcPr>
          <w:p w14:paraId="6E2EABD5" w14:textId="77777777" w:rsidR="00AF315D" w:rsidRDefault="00BC6908">
            <w:pPr>
              <w:spacing w:after="0" w:line="240" w:lineRule="auto"/>
              <w:jc w:val="left"/>
            </w:pPr>
            <w:r>
              <w:rPr>
                <w:color w:val="000000"/>
                <w:sz w:val="21"/>
              </w:rPr>
              <w:t>No valid historical paired comparison.</w:t>
            </w:r>
          </w:p>
        </w:tc>
      </w:tr>
      <w:tr w:rsidR="00AF315D" w14:paraId="5CF43D1A" w14:textId="77777777">
        <w:trPr>
          <w:cantSplit/>
          <w:jc w:val="center"/>
        </w:trPr>
        <w:tc>
          <w:tcPr>
            <w:tcW w:w="1620" w:type="dxa"/>
            <w:shd w:val="clear" w:color="auto" w:fill="F2F6F8"/>
            <w:tcMar>
              <w:top w:w="85" w:type="dxa"/>
              <w:left w:w="100" w:type="dxa"/>
              <w:bottom w:w="85" w:type="dxa"/>
              <w:right w:w="100" w:type="dxa"/>
            </w:tcMar>
            <w:vAlign w:val="center"/>
          </w:tcPr>
          <w:p w14:paraId="2F625D16" w14:textId="77777777" w:rsidR="00AF315D" w:rsidRDefault="00BC6908">
            <w:pPr>
              <w:spacing w:after="0" w:line="240" w:lineRule="auto"/>
              <w:jc w:val="left"/>
            </w:pPr>
            <w:r>
              <w:rPr>
                <w:color w:val="000000"/>
                <w:sz w:val="21"/>
              </w:rPr>
              <w:t>INNOV_005</w:t>
            </w:r>
          </w:p>
        </w:tc>
        <w:tc>
          <w:tcPr>
            <w:tcW w:w="3040" w:type="dxa"/>
            <w:shd w:val="clear" w:color="auto" w:fill="F2F6F8"/>
            <w:tcMar>
              <w:top w:w="85" w:type="dxa"/>
              <w:left w:w="100" w:type="dxa"/>
              <w:bottom w:w="85" w:type="dxa"/>
              <w:right w:w="100" w:type="dxa"/>
            </w:tcMar>
            <w:vAlign w:val="center"/>
          </w:tcPr>
          <w:p w14:paraId="6B99E6A9" w14:textId="77777777" w:rsidR="00AF315D" w:rsidRDefault="00BC6908">
            <w:pPr>
              <w:spacing w:after="0" w:line="240" w:lineRule="auto"/>
              <w:jc w:val="left"/>
            </w:pPr>
            <w:r>
              <w:rPr>
                <w:color w:val="000000"/>
                <w:sz w:val="21"/>
              </w:rPr>
              <w:t>Not assessable</w:t>
            </w:r>
          </w:p>
        </w:tc>
        <w:tc>
          <w:tcPr>
            <w:tcW w:w="3680" w:type="dxa"/>
            <w:shd w:val="clear" w:color="auto" w:fill="F2F6F8"/>
            <w:tcMar>
              <w:top w:w="85" w:type="dxa"/>
              <w:left w:w="100" w:type="dxa"/>
              <w:bottom w:w="85" w:type="dxa"/>
              <w:right w:w="100" w:type="dxa"/>
            </w:tcMar>
            <w:vAlign w:val="center"/>
          </w:tcPr>
          <w:p w14:paraId="0A32E127" w14:textId="77777777" w:rsidR="00AF315D" w:rsidRDefault="00BC6908">
            <w:pPr>
              <w:spacing w:after="0" w:line="240" w:lineRule="auto"/>
              <w:jc w:val="left"/>
            </w:pPr>
            <w:r>
              <w:rPr>
                <w:color w:val="000000"/>
                <w:sz w:val="21"/>
              </w:rPr>
              <w:t>No numerical satisfaction surveys in period.</w:t>
            </w:r>
          </w:p>
        </w:tc>
      </w:tr>
      <w:tr w:rsidR="00AF315D" w14:paraId="2F5C7195" w14:textId="77777777">
        <w:trPr>
          <w:cantSplit/>
          <w:jc w:val="center"/>
        </w:trPr>
        <w:tc>
          <w:tcPr>
            <w:tcW w:w="1620" w:type="dxa"/>
            <w:shd w:val="clear" w:color="auto" w:fill="FFFFFF"/>
            <w:tcMar>
              <w:top w:w="85" w:type="dxa"/>
              <w:left w:w="100" w:type="dxa"/>
              <w:bottom w:w="85" w:type="dxa"/>
              <w:right w:w="100" w:type="dxa"/>
            </w:tcMar>
            <w:vAlign w:val="center"/>
          </w:tcPr>
          <w:p w14:paraId="20D90788" w14:textId="77777777" w:rsidR="00AF315D" w:rsidRDefault="00BC6908">
            <w:pPr>
              <w:spacing w:after="0" w:line="240" w:lineRule="auto"/>
              <w:jc w:val="left"/>
            </w:pPr>
            <w:r>
              <w:rPr>
                <w:color w:val="000000"/>
                <w:sz w:val="21"/>
              </w:rPr>
              <w:t>INNOV_006</w:t>
            </w:r>
          </w:p>
        </w:tc>
        <w:tc>
          <w:tcPr>
            <w:tcW w:w="3040" w:type="dxa"/>
            <w:shd w:val="clear" w:color="auto" w:fill="FFFFFF"/>
            <w:tcMar>
              <w:top w:w="85" w:type="dxa"/>
              <w:left w:w="100" w:type="dxa"/>
              <w:bottom w:w="85" w:type="dxa"/>
              <w:right w:w="100" w:type="dxa"/>
            </w:tcMar>
            <w:vAlign w:val="center"/>
          </w:tcPr>
          <w:p w14:paraId="4102B443" w14:textId="77777777" w:rsidR="00AF315D" w:rsidRDefault="00BC6908">
            <w:pPr>
              <w:spacing w:after="0" w:line="240" w:lineRule="auto"/>
              <w:jc w:val="left"/>
            </w:pPr>
            <w:r>
              <w:rPr>
                <w:color w:val="000000"/>
                <w:sz w:val="21"/>
              </w:rPr>
              <w:t>Not assessable</w:t>
            </w:r>
          </w:p>
        </w:tc>
        <w:tc>
          <w:tcPr>
            <w:tcW w:w="3680" w:type="dxa"/>
            <w:shd w:val="clear" w:color="auto" w:fill="FFFFFF"/>
            <w:tcMar>
              <w:top w:w="85" w:type="dxa"/>
              <w:left w:w="100" w:type="dxa"/>
              <w:bottom w:w="85" w:type="dxa"/>
              <w:right w:w="100" w:type="dxa"/>
            </w:tcMar>
            <w:vAlign w:val="center"/>
          </w:tcPr>
          <w:p w14:paraId="1FCA4F99" w14:textId="77777777" w:rsidR="00AF315D" w:rsidRDefault="00BC6908">
            <w:pPr>
              <w:spacing w:after="0" w:line="240" w:lineRule="auto"/>
              <w:jc w:val="left"/>
            </w:pPr>
            <w:r>
              <w:rPr>
                <w:color w:val="000000"/>
                <w:sz w:val="21"/>
              </w:rPr>
              <w:t>Insufficient demographic data.</w:t>
            </w:r>
          </w:p>
        </w:tc>
      </w:tr>
    </w:tbl>
    <w:p w14:paraId="087E222C" w14:textId="77777777" w:rsidR="00AF315D" w:rsidRDefault="00BC6908">
      <w:pPr>
        <w:pStyle w:val="Descripcin"/>
        <w:spacing w:before="80" w:after="160"/>
      </w:pPr>
      <w:r>
        <w:t>Table 1. March-August results and evidential status; declared zeros are not certified measurements.</w:t>
      </w:r>
    </w:p>
    <w:p w14:paraId="69F19892" w14:textId="77777777" w:rsidR="00AF315D" w:rsidRDefault="00BC6908">
      <w:pPr>
        <w:spacing w:after="140" w:line="276" w:lineRule="auto"/>
      </w:pPr>
      <w:r>
        <w:t>In the period collection workbook, only the three declared results are entered as numerical zero. Their comments state provenance, scope and limitations. The other six numeric cells remain blank: unavailable does not mean zero. Internal analytics counts appear as supporting observations, not external-user or citizen-participation results.</w:t>
      </w:r>
    </w:p>
    <w:p w14:paraId="747707C8" w14:textId="77777777" w:rsidR="00AF315D" w:rsidRDefault="00BC6908">
      <w:pPr>
        <w:pStyle w:val="Ttulo3"/>
        <w:pageBreakBefore/>
        <w:spacing w:before="0" w:after="160"/>
      </w:pPr>
      <w:bookmarkStart w:id="1" w:name="_Toc243480110"/>
      <w:r>
        <w:lastRenderedPageBreak/>
        <w:t>2 Confirmed Declarations and Documentary Reconciliation</w:t>
      </w:r>
      <w:bookmarkEnd w:id="1"/>
    </w:p>
    <w:p w14:paraId="15726F55" w14:textId="77777777" w:rsidR="00AF315D" w:rsidRDefault="00BC6908">
      <w:pPr>
        <w:pStyle w:val="Ttulo4"/>
        <w:spacing w:before="180" w:after="160"/>
      </w:pPr>
      <w:r>
        <w:t>2.1 Training and the 48-Person Statement</w:t>
      </w:r>
    </w:p>
    <w:p w14:paraId="6225C41A" w14:textId="77777777" w:rsidR="00AF315D" w:rsidRDefault="00BC6908">
      <w:pPr>
        <w:spacing w:after="140" w:line="276" w:lineRule="auto"/>
      </w:pPr>
      <w:r>
        <w:t>Evenor-Tech confirms that no training activities with participants took place between 1 March and 31 August. NBS15.1 is consequently recorded as declared 0 persons trained. April training resources establish preparation only. The documented educator webinar on 3 September and ADA ITS session on 5 October are outside the reporting period. [E08, E09, E14, E22]</w:t>
      </w:r>
    </w:p>
    <w:p w14:paraId="5DE10A70" w14:textId="77777777" w:rsidR="00AF315D" w:rsidRDefault="00BC6908">
      <w:pPr>
        <w:spacing w:after="140" w:line="276" w:lineRule="auto"/>
      </w:pPr>
      <w:r>
        <w:t>The original Lasith transcript remains verified in full, from 12:31:54 to 12:47:18; it does not state the exact meeting date. Francisco says "48 trainers" at 12:40:17, and Lasith requires the March-August subset at 12:40:50. The new internal clarification places this figure in September/October training. It is excluded from this period. No certified event breakdown, participant list or overlap reconciliation has been supplied, so it is not added to the approximate 50-student ADA ITS attendance or apportioned between events. [E14, E15, E22]</w:t>
      </w:r>
    </w:p>
    <w:p w14:paraId="1D5A413B" w14:textId="77777777" w:rsidR="00AF315D" w:rsidRDefault="00BC6908">
      <w:pPr>
        <w:pStyle w:val="Ttulo4"/>
        <w:spacing w:before="180" w:after="160"/>
      </w:pPr>
      <w:r>
        <w:t>2.2 Citizen Engagement and the 5 August Meeting</w:t>
      </w:r>
    </w:p>
    <w:p w14:paraId="2A854668" w14:textId="77777777" w:rsidR="00AF315D" w:rsidRDefault="00BC6908">
      <w:pPr>
        <w:spacing w:after="140" w:line="276" w:lineRule="auto"/>
      </w:pPr>
      <w:r>
        <w:t>On 5 August 2026, Evenor-Tech presented ANFORA institutionally to Vera of BALAM and representatives of Lucena City Council to coordinate dissemination. It was not a training session or an open public citizen activity. Evenor-Tech confirms that the agreed dissemination actions have not materialised. [E06, E22]</w:t>
      </w:r>
    </w:p>
    <w:p w14:paraId="55EAD2AE" w14:textId="77777777" w:rsidR="00AF315D" w:rsidRDefault="00BC6908">
      <w:pPr>
        <w:spacing w:after="140" w:line="276" w:lineRule="auto"/>
      </w:pPr>
      <w:r>
        <w:t>The declared result remains 0 eligible citizen-engagement participants for March-August, subject to Lasith’s acceptance of the activity classification. Institutional representatives are not automatically counted as citizen participants. The original minutes remain pending party validation and are not a complete eligible citizen-attendance register. Internal PostHog tests and account records are also excluded from citizen participation. [E06, E11, E22]</w:t>
      </w:r>
    </w:p>
    <w:p w14:paraId="2CA14151" w14:textId="77777777" w:rsidR="00AF315D" w:rsidRDefault="00BC6908">
      <w:pPr>
        <w:pStyle w:val="Ttulo4"/>
        <w:spacing w:before="180" w:after="160"/>
      </w:pPr>
      <w:r>
        <w:t>2.3 Employment and Corroboration</w:t>
      </w:r>
    </w:p>
    <w:p w14:paraId="41538DAD" w14:textId="77777777" w:rsidR="00AF315D" w:rsidRDefault="00BC6908">
      <w:pPr>
        <w:spacing w:after="140" w:line="276" w:lineRule="auto"/>
      </w:pPr>
      <w:r>
        <w:t>Evenor-Tech confirms that no new jobs attributable to ANFORA were created during March-August. NBS24.18 is recorded as declared 0 jobs for that restricted period. Its collection frequency remains annual; the annual window and final annual result are still open. The target of at least one new full-time employment opportunity is retained, and planned person-months are not converted to jobs or FTE created. [E01, E02, E22]</w:t>
      </w:r>
    </w:p>
    <w:p w14:paraId="3D6F0A1A" w14:textId="77777777" w:rsidR="00AF315D" w:rsidRDefault="00BC6908">
      <w:pPr>
        <w:pStyle w:val="Ttulo3"/>
        <w:pageBreakBefore/>
        <w:spacing w:before="0" w:after="160"/>
      </w:pPr>
      <w:bookmarkStart w:id="2" w:name="_Toc243480111"/>
      <w:r>
        <w:lastRenderedPageBreak/>
        <w:t>3 Assessment of the Nine Official Indicators</w:t>
      </w:r>
      <w:bookmarkEnd w:id="2"/>
    </w:p>
    <w:p w14:paraId="67E362A2" w14:textId="77777777" w:rsidR="00AF315D" w:rsidRDefault="00BC6908">
      <w:pPr>
        <w:spacing w:after="140" w:line="276" w:lineRule="auto"/>
      </w:pPr>
      <w:r>
        <w:t>The received official codes, definitions, units, targets, baselines, collection times and frequencies are preserved. The traceability matrix records those fields verbatim. The six-month review does not replace annual, seasonal, event-based or quarterly windows; stated baselines remain template baselines, not newly certified measurements. [E01, E02, E04]</w:t>
      </w:r>
    </w:p>
    <w:p w14:paraId="194BBCDE" w14:textId="77777777" w:rsidR="00AF315D" w:rsidRDefault="00BC6908">
      <w:pPr>
        <w:pStyle w:val="Ttulo4"/>
        <w:spacing w:before="180" w:after="160"/>
      </w:pPr>
      <w:r>
        <w:t>3.1 NBS4.20 Water Exploitation Index</w:t>
      </w:r>
    </w:p>
    <w:p w14:paraId="0999463A" w14:textId="77777777" w:rsidR="00AF315D" w:rsidRDefault="00BC6908">
      <w:pPr>
        <w:spacing w:after="140" w:line="276" w:lineRule="auto"/>
      </w:pPr>
      <w:r>
        <w:rPr>
          <w:sz w:val="22"/>
        </w:rPr>
        <w:t>Official definition: Ratio between available water resources and the total amount of water used. Reflects water stress. Unit: Index (0–1 / %). Target: 10-15%. Collection time: Annual. Frequency: Periodic (annual). [E01]</w:t>
      </w:r>
    </w:p>
    <w:p w14:paraId="5827CDAD" w14:textId="77777777" w:rsidR="00AF315D" w:rsidRDefault="00BC6908">
      <w:pPr>
        <w:spacing w:after="140" w:line="276" w:lineRule="auto"/>
      </w:pPr>
      <w:r>
        <w:rPr>
          <w:sz w:val="22"/>
        </w:rPr>
        <w:t>Period assessment: Not measured. No matched official WEI+ measurement for the project reporting scope. Municipal 2024 consumption, abstraction or distribution volumes are contextual and do not establish WEI+ or ANFORA impact. Review territorial water-consumption and renewable-resource series using the same geography, season/year and baseline. The retrieved EEA seasonal series refers to 2023, not 2026. [E01, E04, E05, E17, E22]</w:t>
      </w:r>
    </w:p>
    <w:p w14:paraId="0A0A3EF1" w14:textId="77777777" w:rsidR="00AF315D" w:rsidRDefault="00BC6908">
      <w:pPr>
        <w:spacing w:after="140" w:line="276" w:lineRule="auto"/>
      </w:pPr>
      <w:r>
        <w:rPr>
          <w:sz w:val="22"/>
        </w:rPr>
        <w:t>Remaining evidence or decision: Matched territorial water-use and renewable-resource baseline/follow-up with geography and annual/seasonal reference; Lasith to clarify ratio and footprint-target mapping.</w:t>
      </w:r>
    </w:p>
    <w:p w14:paraId="461D55E7" w14:textId="77777777" w:rsidR="00AF315D" w:rsidRDefault="00BC6908">
      <w:pPr>
        <w:pStyle w:val="Ttulo4"/>
        <w:spacing w:before="180" w:after="160"/>
      </w:pPr>
      <w:r>
        <w:t>3.2 NBS15.1 Citizen involvement in environmental education activities (Total)</w:t>
      </w:r>
    </w:p>
    <w:p w14:paraId="6E755B27" w14:textId="77777777" w:rsidR="00AF315D" w:rsidRDefault="00BC6908">
      <w:pPr>
        <w:spacing w:after="140" w:line="276" w:lineRule="auto"/>
      </w:pPr>
      <w:r>
        <w:rPr>
          <w:sz w:val="22"/>
        </w:rPr>
        <w:t>Official definition: Number of citizens participating in environmental education activities. Unit: # participants. Target: 50 trained users. Collection time: Periodic (per event). Frequency: Discrete / event-based. [E01]</w:t>
      </w:r>
    </w:p>
    <w:p w14:paraId="2736D803" w14:textId="77777777" w:rsidR="00AF315D" w:rsidRDefault="00BC6908">
      <w:pPr>
        <w:spacing w:after="140" w:line="276" w:lineRule="auto"/>
      </w:pPr>
      <w:r>
        <w:rPr>
          <w:sz w:val="22"/>
        </w:rPr>
        <w:t>Period assessment: Declared zero; not independently validated. Evenor-Tech confirms no training activities with participants between 1 March and 31 August 2026. The declared result is 0 persons trained. This is responsible-party confirmation, not a measured attendance total or signed certification. Retain the event-based official definition. April materials show preparation, not delivery. The internally clarified 48 persons relate to September/October and are excluded; no event breakdown or attendance is certified. [E03, E06, E08, E09, E14, E15, E22]</w:t>
      </w:r>
    </w:p>
    <w:p w14:paraId="7E09B3D7" w14:textId="77777777" w:rsidR="00AF315D" w:rsidRDefault="00BC6908">
      <w:pPr>
        <w:spacing w:after="140" w:line="276" w:lineRule="auto"/>
      </w:pPr>
      <w:r>
        <w:rPr>
          <w:sz w:val="22"/>
        </w:rPr>
        <w:t>Remaining evidence or decision: Evenor-Tech: retain an accountable written period declaration, activity calendar and organiser reconciliation for corroboration; obtain original attendance for later events only if reporting those periods. Lasith: confirm acceptance of declared zeros and repeated-attendance rule.</w:t>
      </w:r>
    </w:p>
    <w:p w14:paraId="55454D9E" w14:textId="77777777" w:rsidR="00AF315D" w:rsidRDefault="00BC6908">
      <w:pPr>
        <w:pStyle w:val="Ttulo4"/>
        <w:spacing w:before="180" w:after="160"/>
      </w:pPr>
      <w:r>
        <w:t>3.3 NBS24.18 Number of new jobs in green sector (Total)</w:t>
      </w:r>
    </w:p>
    <w:p w14:paraId="5EBF92D1" w14:textId="77777777" w:rsidR="00AF315D" w:rsidRDefault="00BC6908">
      <w:pPr>
        <w:spacing w:after="140" w:line="276" w:lineRule="auto"/>
      </w:pPr>
      <w:r>
        <w:rPr>
          <w:sz w:val="22"/>
        </w:rPr>
        <w:t>Official definition: New jobs created in sustainability-related sectors (renewables, agri-food, digital green services). Unit: # jobs. Target: at least 1 new full-time employment opportunity (FTE). Collection time: Annual. Frequency: Periodic (annual). [E01]</w:t>
      </w:r>
    </w:p>
    <w:p w14:paraId="767055C2" w14:textId="77777777" w:rsidR="00AF315D" w:rsidRDefault="00BC6908">
      <w:pPr>
        <w:spacing w:after="140" w:line="276" w:lineRule="auto"/>
      </w:pPr>
      <w:r>
        <w:rPr>
          <w:sz w:val="22"/>
        </w:rPr>
        <w:lastRenderedPageBreak/>
        <w:t>Period assessment: Declared period zero; annual result open. Evenor-Tech confirms no new jobs attributable to ANFORA during March-August 2026. Record declared 0 jobs for this restricted period; no signed HR certification or independently checked annual employment result has been supplied. The official collection window remains annual. The six-month declaration cannot settle the annual outcome. Preserve # jobs as unit and the FTE target; planned 5.45 person-months are not new jobs. [E01, E02, E04, E05, E13, E22]</w:t>
      </w:r>
    </w:p>
    <w:p w14:paraId="4E96DAA7" w14:textId="77777777" w:rsidR="00AF315D" w:rsidRDefault="00BC6908">
      <w:pPr>
        <w:spacing w:after="140" w:line="276" w:lineRule="auto"/>
      </w:pPr>
      <w:r>
        <w:rPr>
          <w:sz w:val="22"/>
        </w:rPr>
        <w:t>Remaining evidence or decision: Evenor-Tech HR: accountable period declaration or HR confirmation, annual observation boundaries, hiring/role/hours and attribution reconciliation. Lasith: confirm annual window, jobs/FTE interpretation and treatment of a partial-period declaration.</w:t>
      </w:r>
    </w:p>
    <w:p w14:paraId="0C4F1728" w14:textId="77777777" w:rsidR="00AF315D" w:rsidRDefault="00BC6908">
      <w:pPr>
        <w:pStyle w:val="Ttulo4"/>
        <w:spacing w:before="180" w:after="160"/>
      </w:pPr>
      <w:r>
        <w:t>3.4 RRTG.SC-01b Number of participants in citizens engagement activities (Total)</w:t>
      </w:r>
    </w:p>
    <w:p w14:paraId="51380EE1" w14:textId="77777777" w:rsidR="00AF315D" w:rsidRDefault="00BC6908">
      <w:pPr>
        <w:spacing w:after="140" w:line="276" w:lineRule="auto"/>
      </w:pPr>
      <w:r>
        <w:rPr>
          <w:sz w:val="22"/>
        </w:rPr>
        <w:t>Official definition: Total number of participants in citizen engagement activities (workshops, co-creation sessions, awareness campaigns). Unit: # participants. Target: Minimum of 100 registered users. Collection time: Periodic (per event). Frequency: Discrete / event-based. [E01]</w:t>
      </w:r>
    </w:p>
    <w:p w14:paraId="6E9FB42A" w14:textId="77777777" w:rsidR="00AF315D" w:rsidRDefault="00BC6908">
      <w:pPr>
        <w:spacing w:after="140" w:line="276" w:lineRule="auto"/>
      </w:pPr>
      <w:r>
        <w:rPr>
          <w:sz w:val="22"/>
        </w:rPr>
        <w:t>Period assessment: Declared zero; eligibility pending acceptance by Lasith. Evenor-Tech retains its declared 0 eligible citizen-engagement participants for March-August. On 5 August, ANFORA was presented institutionally to Vera of BALAM and Lucena City Council representatives to coordinate dissemination. This was not training or an open public citizen activity. The agreed dissemination actions have not materialised. The activity’s eligibility for RRTG.SC-01b remains subject to Lasith’s acceptance; institutional representatives are not automatically counted as citizen participants. Preserve the official participant definition and the distinct 100-registered-user target. Do not use internal PostHog tests, registrations or invitations as citizen attendance. The institutional presentation is confirmed; its indicator classification remains pending acceptance by Lasith. [E01, E03, E04, E06, E07, E11, E12, E22]</w:t>
      </w:r>
    </w:p>
    <w:p w14:paraId="7FCF94B5" w14:textId="77777777" w:rsidR="00AF315D" w:rsidRDefault="00BC6908">
      <w:pPr>
        <w:spacing w:after="140" w:line="276" w:lineRule="auto"/>
      </w:pPr>
      <w:r>
        <w:rPr>
          <w:sz w:val="22"/>
        </w:rPr>
        <w:t>Remaining evidence or decision: Lasith: accept the indicator classification of the 5 August institutional presentation and confirm eligible citizen activities, participant versus 100-registered-user mapping and repeat counting. Evenor-Tech: retain the accountable period declaration and activity reconciliation.</w:t>
      </w:r>
    </w:p>
    <w:p w14:paraId="5988E1DB" w14:textId="77777777" w:rsidR="00AF315D" w:rsidRDefault="00BC6908">
      <w:pPr>
        <w:pStyle w:val="Ttulo4"/>
        <w:spacing w:before="180" w:after="160"/>
      </w:pPr>
      <w:r>
        <w:t>3.5 INNOV_002 Energy consumption of irrigation systems (kWh/ha)</w:t>
      </w:r>
    </w:p>
    <w:p w14:paraId="734D835E" w14:textId="77777777" w:rsidR="00AF315D" w:rsidRDefault="00BC6908">
      <w:pPr>
        <w:spacing w:after="140" w:line="276" w:lineRule="auto"/>
      </w:pPr>
      <w:r>
        <w:rPr>
          <w:sz w:val="22"/>
        </w:rPr>
        <w:t>Official definition: Connects water savings to energy efficiency, highlighting ANFORA's contribution to the water–energy–food nexus. Unit: kWh/ha. Target: 5-10% reduction in energy consumption for irrigation. Collection time: Periodic (per season). Frequency: Seasonal / annual. [E01]</w:t>
      </w:r>
    </w:p>
    <w:p w14:paraId="7FB5B42A" w14:textId="77777777" w:rsidR="00AF315D" w:rsidRDefault="00BC6908">
      <w:pPr>
        <w:spacing w:after="140" w:line="276" w:lineRule="auto"/>
      </w:pPr>
      <w:r>
        <w:rPr>
          <w:sz w:val="22"/>
        </w:rPr>
        <w:t>Period assessment: Not measured. Evenor-Tech confirms no irrigation electricity-consumption measurements per hectare. The water-footprint calculator cannot supply kWh/ha. Use dated irrigation electricity consumption divided by irrigated area for the same farms/crops and matching season/year. Preserve the official seasonal/annual window. [E01, E04, E05, E10, E13, E22]</w:t>
      </w:r>
    </w:p>
    <w:p w14:paraId="78CDBBBF" w14:textId="77777777" w:rsidR="00AF315D" w:rsidRDefault="00BC6908">
      <w:pPr>
        <w:spacing w:after="140" w:line="276" w:lineRule="auto"/>
      </w:pPr>
      <w:r>
        <w:rPr>
          <w:sz w:val="22"/>
        </w:rPr>
        <w:lastRenderedPageBreak/>
        <w:t>Remaining evidence or decision: Farm partners via Evenor-Tech: dated electricity readings, irrigated area and comparable seasonal baseline/follow-up. No historical value can be reconstructed from absent metering.</w:t>
      </w:r>
    </w:p>
    <w:p w14:paraId="07A87E69" w14:textId="77777777" w:rsidR="00AF315D" w:rsidRDefault="00BC6908">
      <w:pPr>
        <w:pStyle w:val="Ttulo4"/>
        <w:spacing w:before="180" w:after="160"/>
      </w:pPr>
      <w:r>
        <w:t>3.6 INNOV_003 User interaction data from digital platforms</w:t>
      </w:r>
    </w:p>
    <w:p w14:paraId="66062489" w14:textId="77777777" w:rsidR="00AF315D" w:rsidRDefault="00BC6908">
      <w:pPr>
        <w:spacing w:after="140" w:line="276" w:lineRule="auto"/>
      </w:pPr>
      <w:r>
        <w:rPr>
          <w:sz w:val="22"/>
        </w:rPr>
        <w:t>Official definition: Complements KPIs 16 &amp; 17 (registered and trained users), offering deeper insights into platform adoption and behavioural change. Unit: # users, sessions. Target: Continuous engagement metrics — complementary to KPI16 (100 registered users): &lt;10 critical incidents (KPI15) and growing average session duration / return rate from M13 onwards.. Collection time: Real-time. Frequency: Continuous. [E01]</w:t>
      </w:r>
    </w:p>
    <w:p w14:paraId="14B483EC" w14:textId="77777777" w:rsidR="00AF315D" w:rsidRDefault="00BC6908">
      <w:pPr>
        <w:spacing w:after="140" w:line="276" w:lineRule="auto"/>
      </w:pPr>
      <w:r>
        <w:rPr>
          <w:sz w:val="22"/>
        </w:rPr>
        <w:t>Period assessment: External usage not verified; observed activity internal. The three CSVs contain daily Pageview series summing to 1, 4 and 39, all on 31 August. The responsible identifies these as 1 unique PostHog identity, 4 unique sessions with Pageview and 39 pageviews, and confirms he performed all those tests himself. They are internal testing, not external adoption. Two anonymous MongoDB calculations on 31 August remain separately unclassified. CSV values and dates are directly verified; aggregation labels and test provenance derive from E22 because CSVs omit query settings and identifiers. Do not convert one identity to a unique human, exclude the tests from citizen/adoption claims, and do not infer zero external visits during unproven capture coverage. Retain the MongoDB records without assuming a link to the PostHog tests. [E03, E04, E10, E11, E12, E18, E22, E23, E24, E25]</w:t>
      </w:r>
    </w:p>
    <w:p w14:paraId="6C35BAA4" w14:textId="77777777" w:rsidR="00AF315D" w:rsidRDefault="00BC6908">
      <w:pPr>
        <w:spacing w:after="140" w:line="276" w:lineRule="auto"/>
      </w:pPr>
      <w:r>
        <w:rPr>
          <w:sz w:val="22"/>
        </w:rPr>
        <w:t>Remaining evidence or decision: Evenor-Tech analytics owner: saved insight settings or screenshots confirming project, metric aggregation, filters, timezone, dates and identity/session deduplication; deployment/retention/consent coverage; pseudonymous test classification and separate provenance for the two MongoDB calculations. Lasith: agree users/sessions definitions and partial-coverage/internal-test reporting.</w:t>
      </w:r>
    </w:p>
    <w:p w14:paraId="64461179" w14:textId="77777777" w:rsidR="00AF315D" w:rsidRDefault="00BC6908">
      <w:pPr>
        <w:pStyle w:val="Ttulo4"/>
        <w:spacing w:before="180" w:after="160"/>
      </w:pPr>
      <w:r>
        <w:t>3.7 INNOV_004 Water saved through behavioural change (litres or %)</w:t>
      </w:r>
    </w:p>
    <w:p w14:paraId="6F193E5F" w14:textId="77777777" w:rsidR="00AF315D" w:rsidRDefault="00BC6908">
      <w:pPr>
        <w:spacing w:after="140" w:line="276" w:lineRule="auto"/>
      </w:pPr>
      <w:r>
        <w:rPr>
          <w:sz w:val="22"/>
        </w:rPr>
        <w:t>Official definition: Difference between baseline water footprint and adjusted diet/recipe/product choices simulated in ANFORA. Unit: Litres / %. Target: 10-15%. Collection time: Per user action. Frequency: Continuous / On-demand. [E01]</w:t>
      </w:r>
    </w:p>
    <w:p w14:paraId="367AC689" w14:textId="77777777" w:rsidR="00AF315D" w:rsidRDefault="00BC6908">
      <w:pPr>
        <w:spacing w:after="140" w:line="276" w:lineRule="auto"/>
      </w:pPr>
      <w:r>
        <w:rPr>
          <w:sz w:val="22"/>
        </w:rPr>
        <w:t>Period assessment: Not measured. ANFORA supports footprint simulations, but no historical comparison of valid matched baseline/alternative scenarios is verified. A supermarket-versus-local-market claim cannot be derived merely from global-versus-Andalusian reference values. Recover dated matched baseline and adjusted scenarios with consistent ingredient sources, quantities, units and servings. Calculate baseline minus adjusted footprint, and percent only with a valid non-zero baseline. Label simulation as simulation; observed consumption change is a separate claim. [E01, E03, E04, E10, E11, E13, E22]</w:t>
      </w:r>
    </w:p>
    <w:p w14:paraId="1F1F51B5" w14:textId="77777777" w:rsidR="00AF315D" w:rsidRDefault="00BC6908">
      <w:pPr>
        <w:spacing w:after="140" w:line="276" w:lineRule="auto"/>
      </w:pPr>
      <w:r>
        <w:rPr>
          <w:sz w:val="22"/>
        </w:rPr>
        <w:t>Remaining evidence or decision: Evenor-Tech: dated valid scenario pairs using consistent quantity, servings, reference/source and comparison assumptions. No outcome can be reconstructed from two unlinked calculations. Lasith: agree simulated-versus-observed reporting and aggregation.</w:t>
      </w:r>
    </w:p>
    <w:p w14:paraId="0F8E61BA" w14:textId="77777777" w:rsidR="00AF315D" w:rsidRDefault="00BC6908">
      <w:pPr>
        <w:pStyle w:val="Ttulo4"/>
        <w:spacing w:before="180" w:after="160"/>
      </w:pPr>
      <w:r>
        <w:lastRenderedPageBreak/>
        <w:t>3.8 INNOV_005 EWI: Low User Engagement Alert</w:t>
      </w:r>
    </w:p>
    <w:p w14:paraId="6447CF4B" w14:textId="77777777" w:rsidR="00AF315D" w:rsidRDefault="00BC6908">
      <w:pPr>
        <w:spacing w:after="140" w:line="276" w:lineRule="auto"/>
      </w:pPr>
      <w:r>
        <w:rPr>
          <w:sz w:val="22"/>
        </w:rPr>
        <w:t>Official definition: Early Warning Indicator that triggers an alert when satisfaction scores in pilot tests fall below 80% or when the average satisfaction score drops under 4/5, enabling corrective actions on usability, content or training. Unit: % satisfaction / score (1–5). Target: Alert if satisfaction &lt;80% (KPI14) or average score &lt;4/5 (KPI19). Collection time: Periodic (per pilot / per event). Frequency: Per pilot iteration (M7–M9) and continuous after launch. [E01]</w:t>
      </w:r>
    </w:p>
    <w:p w14:paraId="31E86F53" w14:textId="77777777" w:rsidR="00AF315D" w:rsidRDefault="00BC6908">
      <w:pPr>
        <w:spacing w:after="140" w:line="276" w:lineRule="auto"/>
      </w:pPr>
      <w:r>
        <w:rPr>
          <w:sz w:val="22"/>
        </w:rPr>
        <w:t>Period assessment: Not assessable. Evenor-Tech confirms no numerical satisfaction surveys during March-August. Consequently neither the satisfaction percentage/mean score nor the alert state can be evaluated. Apply the original threshold, satisfaction below 80% or mean score below 4/5, to a defined completed survey cohort. An absent dataset is not a false alert or zero score. [E01, E03, E04, E09, E12, E13, E14, E22]</w:t>
      </w:r>
    </w:p>
    <w:p w14:paraId="3D039F64" w14:textId="77777777" w:rsidR="00AF315D" w:rsidRDefault="00BC6908">
      <w:pPr>
        <w:spacing w:after="140" w:line="276" w:lineRule="auto"/>
      </w:pPr>
      <w:r>
        <w:rPr>
          <w:sz w:val="22"/>
        </w:rPr>
        <w:t>Remaining evidence or decision: Retain the no-survey declaration and measurement gap. Historical scores cannot be invented or replaced with later surveys; agree missing-data treatment and future survey denominator/coding with Lasith.</w:t>
      </w:r>
    </w:p>
    <w:p w14:paraId="4F0689CE" w14:textId="77777777" w:rsidR="00AF315D" w:rsidRDefault="00BC6908">
      <w:pPr>
        <w:pStyle w:val="Ttulo4"/>
        <w:spacing w:before="180" w:after="160"/>
      </w:pPr>
      <w:r>
        <w:t>3.9 INNOV_006 EWI: Demographic Imbalance Alert</w:t>
      </w:r>
    </w:p>
    <w:p w14:paraId="48E192CE" w14:textId="77777777" w:rsidR="00AF315D" w:rsidRDefault="00BC6908">
      <w:pPr>
        <w:spacing w:after="140" w:line="276" w:lineRule="auto"/>
      </w:pPr>
      <w:r>
        <w:rPr>
          <w:sz w:val="22"/>
        </w:rPr>
        <w:t>Official definition: Early Warning Indicator that monitors whether ANFORA effectively reaches vulnerable groups — people under 30, people over 55 and the long-term unemployed — to safeguard social inclusion in line with the Cross-cutting Priority. Unit: % per target group. Target: Balanced representation of the 6 target groups (youth &lt;30, adults &gt;55, long-term unemployed, farmers, agri-food industry, researchers); alert if any vulnerable group &lt;10% of total users.. Collection time: Periodic (per event / cohort). Frequency: Quarterly review during M13–M18. [E01]</w:t>
      </w:r>
    </w:p>
    <w:p w14:paraId="10C9C30E" w14:textId="77777777" w:rsidR="00AF315D" w:rsidRDefault="00BC6908">
      <w:pPr>
        <w:spacing w:after="140" w:line="276" w:lineRule="auto"/>
      </w:pPr>
      <w:r>
        <w:rPr>
          <w:sz w:val="22"/>
        </w:rPr>
        <w:t>Period assessment: Not assessable. Evenor-Tech confirms insufficient demographic data for the period. Group shares, representation and the imbalance alert cannot be assessed; no zero group percentages or balanced representation are inferred. Calculate each defined group share from consent-based declarations and an eligible cohort denominator; preserve the official group definitions and less-than-10% alert criterion. [E01, E03, E04, E11, E12, E13, E14, E22]</w:t>
      </w:r>
    </w:p>
    <w:p w14:paraId="274C97E0" w14:textId="77777777" w:rsidR="00AF315D" w:rsidRDefault="00BC6908">
      <w:pPr>
        <w:spacing w:after="140" w:line="276" w:lineRule="auto"/>
      </w:pPr>
      <w:r>
        <w:rPr>
          <w:sz w:val="22"/>
        </w:rPr>
        <w:t>Remaining evidence or decision: Retain the data-gap declaration. Future consent-based group data require an eligible cohort denominator and missing-response/overlap rules agreed with Lasith; they cannot retrospectively fill the historical gap.</w:t>
      </w:r>
    </w:p>
    <w:p w14:paraId="406B3129" w14:textId="77777777" w:rsidR="00AF315D" w:rsidRDefault="00BC6908">
      <w:pPr>
        <w:spacing w:after="140" w:line="276" w:lineRule="auto"/>
      </w:pPr>
      <w:r>
        <w:t>RRTG.SC-01b measures participants in citizen-engagement activities, while its target and baseline refer to registered users. These are retained without conversion. No target-achievement percentage is calculated across those magnitudes. Similarly, the territorial WEI index and a recipe-footprint reduction are different measures; the received NBS4.20 wording and target remain unchanged pending Lasith’s clarification. [E01, E15]</w:t>
      </w:r>
    </w:p>
    <w:p w14:paraId="6B49C1FE" w14:textId="77777777" w:rsidR="00AF315D" w:rsidRDefault="00BC6908">
      <w:pPr>
        <w:pStyle w:val="Ttulo3"/>
        <w:pageBreakBefore/>
        <w:spacing w:before="0" w:after="160"/>
      </w:pPr>
      <w:bookmarkStart w:id="3" w:name="_Toc243480112"/>
      <w:r>
        <w:lastRenderedPageBreak/>
        <w:t>4 PostHog Exports and Limits of Historical Usage</w:t>
      </w:r>
      <w:bookmarkEnd w:id="3"/>
    </w:p>
    <w:p w14:paraId="07A40DC9" w14:textId="77777777" w:rsidR="00AF315D" w:rsidRDefault="00BC6908">
      <w:pPr>
        <w:spacing w:after="140" w:line="276" w:lineRule="auto"/>
      </w:pPr>
      <w:r>
        <w:t>Three CSV exports were located and read in full. Each has a single $pageview / Pageview series and 184 daily columns from 1 March to 31 August 2026. The verified sums are 1, 4 and 39; in all three files every non-zero value occurs on 31 August. Raw copies are retained unchanged with their SHA-256 hashes in the traceability workbook. [E23-E25]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00"/>
        <w:gridCol w:w="1280"/>
        <w:gridCol w:w="2960"/>
      </w:tblGrid>
      <w:tr w:rsidR="00AF315D" w14:paraId="5425A837" w14:textId="77777777">
        <w:trPr>
          <w:cantSplit/>
          <w:tblHeader/>
          <w:jc w:val="center"/>
        </w:trPr>
        <w:tc>
          <w:tcPr>
            <w:tcW w:w="4100" w:type="dxa"/>
            <w:shd w:val="clear" w:color="auto" w:fill="156082"/>
            <w:tcMar>
              <w:top w:w="85" w:type="dxa"/>
              <w:left w:w="100" w:type="dxa"/>
              <w:bottom w:w="85" w:type="dxa"/>
              <w:right w:w="100" w:type="dxa"/>
            </w:tcMar>
            <w:vAlign w:val="center"/>
          </w:tcPr>
          <w:p w14:paraId="3BB189B3" w14:textId="77777777" w:rsidR="00AF315D" w:rsidRDefault="00BC6908">
            <w:pPr>
              <w:spacing w:after="0" w:line="240" w:lineRule="auto"/>
              <w:jc w:val="left"/>
            </w:pPr>
            <w:r>
              <w:rPr>
                <w:b/>
                <w:color w:val="FFFFFF"/>
                <w:sz w:val="21"/>
              </w:rPr>
              <w:t>Raw CSV</w:t>
            </w:r>
          </w:p>
        </w:tc>
        <w:tc>
          <w:tcPr>
            <w:tcW w:w="1280" w:type="dxa"/>
            <w:shd w:val="clear" w:color="auto" w:fill="156082"/>
            <w:tcMar>
              <w:top w:w="85" w:type="dxa"/>
              <w:left w:w="100" w:type="dxa"/>
              <w:bottom w:w="85" w:type="dxa"/>
              <w:right w:w="100" w:type="dxa"/>
            </w:tcMar>
            <w:vAlign w:val="center"/>
          </w:tcPr>
          <w:p w14:paraId="24FC5BEA" w14:textId="77777777" w:rsidR="00AF315D" w:rsidRDefault="00BC6908">
            <w:pPr>
              <w:spacing w:after="0" w:line="240" w:lineRule="auto"/>
              <w:jc w:val="left"/>
            </w:pPr>
            <w:r>
              <w:rPr>
                <w:b/>
                <w:color w:val="FFFFFF"/>
                <w:sz w:val="21"/>
              </w:rPr>
              <w:t>Verified daily sum</w:t>
            </w:r>
          </w:p>
        </w:tc>
        <w:tc>
          <w:tcPr>
            <w:tcW w:w="2960" w:type="dxa"/>
            <w:shd w:val="clear" w:color="auto" w:fill="156082"/>
            <w:tcMar>
              <w:top w:w="85" w:type="dxa"/>
              <w:left w:w="100" w:type="dxa"/>
              <w:bottom w:w="85" w:type="dxa"/>
              <w:right w:w="100" w:type="dxa"/>
            </w:tcMar>
            <w:vAlign w:val="center"/>
          </w:tcPr>
          <w:p w14:paraId="005EE938" w14:textId="77777777" w:rsidR="00AF315D" w:rsidRDefault="00BC6908">
            <w:pPr>
              <w:spacing w:after="0" w:line="240" w:lineRule="auto"/>
              <w:jc w:val="left"/>
            </w:pPr>
            <w:r>
              <w:rPr>
                <w:b/>
                <w:color w:val="FFFFFF"/>
                <w:sz w:val="21"/>
              </w:rPr>
              <w:t>Metric identified by responsible</w:t>
            </w:r>
          </w:p>
        </w:tc>
      </w:tr>
      <w:tr w:rsidR="00AF315D" w14:paraId="4B6404AD" w14:textId="77777777">
        <w:trPr>
          <w:cantSplit/>
          <w:jc w:val="center"/>
        </w:trPr>
        <w:tc>
          <w:tcPr>
            <w:tcW w:w="4100" w:type="dxa"/>
            <w:shd w:val="clear" w:color="auto" w:fill="FFFFFF"/>
            <w:tcMar>
              <w:top w:w="85" w:type="dxa"/>
              <w:left w:w="100" w:type="dxa"/>
              <w:bottom w:w="85" w:type="dxa"/>
              <w:right w:w="100" w:type="dxa"/>
            </w:tcMar>
            <w:vAlign w:val="center"/>
          </w:tcPr>
          <w:p w14:paraId="43B31987" w14:textId="77777777" w:rsidR="00AF315D" w:rsidRDefault="00BC6908">
            <w:pPr>
              <w:spacing w:after="0" w:line="240" w:lineRule="auto"/>
              <w:jc w:val="left"/>
            </w:pPr>
            <w:r>
              <w:rPr>
                <w:color w:val="000000"/>
                <w:sz w:val="21"/>
              </w:rPr>
              <w:t>export-2026-10-21-070956.csv</w:t>
            </w:r>
          </w:p>
        </w:tc>
        <w:tc>
          <w:tcPr>
            <w:tcW w:w="1280" w:type="dxa"/>
            <w:shd w:val="clear" w:color="auto" w:fill="FFFFFF"/>
            <w:tcMar>
              <w:top w:w="85" w:type="dxa"/>
              <w:left w:w="100" w:type="dxa"/>
              <w:bottom w:w="85" w:type="dxa"/>
              <w:right w:w="100" w:type="dxa"/>
            </w:tcMar>
            <w:vAlign w:val="center"/>
          </w:tcPr>
          <w:p w14:paraId="48E72636" w14:textId="77777777" w:rsidR="00AF315D" w:rsidRDefault="00BC6908">
            <w:pPr>
              <w:spacing w:after="0" w:line="240" w:lineRule="auto"/>
              <w:jc w:val="center"/>
            </w:pPr>
            <w:r>
              <w:rPr>
                <w:color w:val="000000"/>
                <w:sz w:val="21"/>
              </w:rPr>
              <w:t>1</w:t>
            </w:r>
          </w:p>
        </w:tc>
        <w:tc>
          <w:tcPr>
            <w:tcW w:w="2960" w:type="dxa"/>
            <w:shd w:val="clear" w:color="auto" w:fill="FFFFFF"/>
            <w:tcMar>
              <w:top w:w="85" w:type="dxa"/>
              <w:left w:w="100" w:type="dxa"/>
              <w:bottom w:w="85" w:type="dxa"/>
              <w:right w:w="100" w:type="dxa"/>
            </w:tcMar>
            <w:vAlign w:val="center"/>
          </w:tcPr>
          <w:p w14:paraId="66B1BB1C" w14:textId="77777777" w:rsidR="00AF315D" w:rsidRDefault="00BC6908">
            <w:pPr>
              <w:spacing w:after="0" w:line="240" w:lineRule="auto"/>
              <w:jc w:val="left"/>
            </w:pPr>
            <w:r>
              <w:rPr>
                <w:color w:val="000000"/>
                <w:sz w:val="21"/>
              </w:rPr>
              <w:t>unique PostHog identity</w:t>
            </w:r>
          </w:p>
        </w:tc>
      </w:tr>
      <w:tr w:rsidR="00AF315D" w14:paraId="67DEF7BF" w14:textId="77777777">
        <w:trPr>
          <w:cantSplit/>
          <w:jc w:val="center"/>
        </w:trPr>
        <w:tc>
          <w:tcPr>
            <w:tcW w:w="4100" w:type="dxa"/>
            <w:shd w:val="clear" w:color="auto" w:fill="F2F6F8"/>
            <w:tcMar>
              <w:top w:w="85" w:type="dxa"/>
              <w:left w:w="100" w:type="dxa"/>
              <w:bottom w:w="85" w:type="dxa"/>
              <w:right w:w="100" w:type="dxa"/>
            </w:tcMar>
            <w:vAlign w:val="center"/>
          </w:tcPr>
          <w:p w14:paraId="57144314" w14:textId="77777777" w:rsidR="00AF315D" w:rsidRDefault="00BC6908">
            <w:pPr>
              <w:spacing w:after="0" w:line="240" w:lineRule="auto"/>
              <w:jc w:val="left"/>
            </w:pPr>
            <w:r>
              <w:rPr>
                <w:color w:val="000000"/>
                <w:sz w:val="21"/>
              </w:rPr>
              <w:t>export-2026-10-21-071010.csv</w:t>
            </w:r>
          </w:p>
        </w:tc>
        <w:tc>
          <w:tcPr>
            <w:tcW w:w="1280" w:type="dxa"/>
            <w:shd w:val="clear" w:color="auto" w:fill="F2F6F8"/>
            <w:tcMar>
              <w:top w:w="85" w:type="dxa"/>
              <w:left w:w="100" w:type="dxa"/>
              <w:bottom w:w="85" w:type="dxa"/>
              <w:right w:w="100" w:type="dxa"/>
            </w:tcMar>
            <w:vAlign w:val="center"/>
          </w:tcPr>
          <w:p w14:paraId="3F5E3520" w14:textId="77777777" w:rsidR="00AF315D" w:rsidRDefault="00BC6908">
            <w:pPr>
              <w:spacing w:after="0" w:line="240" w:lineRule="auto"/>
              <w:jc w:val="center"/>
            </w:pPr>
            <w:r>
              <w:rPr>
                <w:color w:val="000000"/>
                <w:sz w:val="21"/>
              </w:rPr>
              <w:t>4</w:t>
            </w:r>
          </w:p>
        </w:tc>
        <w:tc>
          <w:tcPr>
            <w:tcW w:w="2960" w:type="dxa"/>
            <w:shd w:val="clear" w:color="auto" w:fill="F2F6F8"/>
            <w:tcMar>
              <w:top w:w="85" w:type="dxa"/>
              <w:left w:w="100" w:type="dxa"/>
              <w:bottom w:w="85" w:type="dxa"/>
              <w:right w:w="100" w:type="dxa"/>
            </w:tcMar>
            <w:vAlign w:val="center"/>
          </w:tcPr>
          <w:p w14:paraId="1C28E4D1" w14:textId="77777777" w:rsidR="00AF315D" w:rsidRDefault="00BC6908">
            <w:pPr>
              <w:spacing w:after="0" w:line="240" w:lineRule="auto"/>
              <w:jc w:val="left"/>
            </w:pPr>
            <w:r>
              <w:rPr>
                <w:color w:val="000000"/>
                <w:sz w:val="21"/>
              </w:rPr>
              <w:t>unique sessions with Pageview</w:t>
            </w:r>
          </w:p>
        </w:tc>
      </w:tr>
      <w:tr w:rsidR="00AF315D" w14:paraId="1B96B4FA" w14:textId="77777777">
        <w:trPr>
          <w:cantSplit/>
          <w:jc w:val="center"/>
        </w:trPr>
        <w:tc>
          <w:tcPr>
            <w:tcW w:w="4100" w:type="dxa"/>
            <w:shd w:val="clear" w:color="auto" w:fill="FFFFFF"/>
            <w:tcMar>
              <w:top w:w="85" w:type="dxa"/>
              <w:left w:w="100" w:type="dxa"/>
              <w:bottom w:w="85" w:type="dxa"/>
              <w:right w:w="100" w:type="dxa"/>
            </w:tcMar>
            <w:vAlign w:val="center"/>
          </w:tcPr>
          <w:p w14:paraId="6FD341B6" w14:textId="77777777" w:rsidR="00AF315D" w:rsidRDefault="00BC6908">
            <w:pPr>
              <w:spacing w:after="0" w:line="240" w:lineRule="auto"/>
              <w:jc w:val="left"/>
            </w:pPr>
            <w:r>
              <w:rPr>
                <w:color w:val="000000"/>
                <w:sz w:val="21"/>
              </w:rPr>
              <w:t>export-2026-10-21-070736.csv</w:t>
            </w:r>
          </w:p>
        </w:tc>
        <w:tc>
          <w:tcPr>
            <w:tcW w:w="1280" w:type="dxa"/>
            <w:shd w:val="clear" w:color="auto" w:fill="FFFFFF"/>
            <w:tcMar>
              <w:top w:w="85" w:type="dxa"/>
              <w:left w:w="100" w:type="dxa"/>
              <w:bottom w:w="85" w:type="dxa"/>
              <w:right w:w="100" w:type="dxa"/>
            </w:tcMar>
            <w:vAlign w:val="center"/>
          </w:tcPr>
          <w:p w14:paraId="168CCF77" w14:textId="77777777" w:rsidR="00AF315D" w:rsidRDefault="00BC6908">
            <w:pPr>
              <w:spacing w:after="0" w:line="240" w:lineRule="auto"/>
              <w:jc w:val="center"/>
            </w:pPr>
            <w:r>
              <w:rPr>
                <w:color w:val="000000"/>
                <w:sz w:val="21"/>
              </w:rPr>
              <w:t>39</w:t>
            </w:r>
          </w:p>
        </w:tc>
        <w:tc>
          <w:tcPr>
            <w:tcW w:w="2960" w:type="dxa"/>
            <w:shd w:val="clear" w:color="auto" w:fill="FFFFFF"/>
            <w:tcMar>
              <w:top w:w="85" w:type="dxa"/>
              <w:left w:w="100" w:type="dxa"/>
              <w:bottom w:w="85" w:type="dxa"/>
              <w:right w:w="100" w:type="dxa"/>
            </w:tcMar>
            <w:vAlign w:val="center"/>
          </w:tcPr>
          <w:p w14:paraId="32FFD4E2" w14:textId="77777777" w:rsidR="00AF315D" w:rsidRDefault="00BC6908">
            <w:pPr>
              <w:spacing w:after="0" w:line="240" w:lineRule="auto"/>
              <w:jc w:val="left"/>
            </w:pPr>
            <w:r>
              <w:rPr>
                <w:color w:val="000000"/>
                <w:sz w:val="21"/>
              </w:rPr>
              <w:t>pageviews</w:t>
            </w:r>
          </w:p>
        </w:tc>
      </w:tr>
    </w:tbl>
    <w:p w14:paraId="7FA98A3F" w14:textId="77777777" w:rsidR="00AF315D" w:rsidRDefault="00BC6908">
      <w:pPr>
        <w:pStyle w:val="Descripcin"/>
        <w:spacing w:before="80" w:after="160"/>
      </w:pPr>
      <w:r>
        <w:t>Table 2. CSV values independently checked; metric selection supplied by the responsible. [E22-E25]</w:t>
      </w:r>
    </w:p>
    <w:p w14:paraId="26299244" w14:textId="77777777" w:rsidR="00AF315D" w:rsidRDefault="00BC6908">
      <w:pPr>
        <w:spacing w:after="140" w:line="276" w:lineRule="auto"/>
      </w:pPr>
      <w:r>
        <w:t>The responsible identifies these exports respectively as 1 unique PostHog identity, 4 unique sessions with Pageview and 39 pageviews, and confirms that he performed the tests himself on 31 August. All counted Pageview observations are classified as internal testing. An SDK identity is not automatically a distinct human; a Pageview session is not a training participant or citizen-engagement session. None of these observations is entered as external adoption. [E22-E25]</w:t>
      </w:r>
    </w:p>
    <w:p w14:paraId="23DD0C74" w14:textId="77777777" w:rsidR="00AF315D" w:rsidRDefault="00BC6908">
      <w:pPr>
        <w:spacing w:after="140" w:line="276" w:lineRule="auto"/>
      </w:pPr>
      <w:r>
        <w:t>The CSV format does not record the aggregation choice, project identifier, timezone, filters, session identifiers or identity mapping. The values and column dates can be checked directly; their metric interpretation and internal-test provenance derive from the responsible’s confirmation. A saved insight or screenshots of those query settings would strengthen the audit trail. No claim is made that the CSVs themselves identify the tester or independently prove session deduplication. [E22-E25]</w:t>
      </w:r>
    </w:p>
    <w:p w14:paraId="72337822" w14:textId="77777777" w:rsidR="00AF315D" w:rsidRDefault="00BC6908">
      <w:pPr>
        <w:spacing w:after="140" w:line="276" w:lineRule="auto"/>
      </w:pPr>
      <w:r>
        <w:t>Zero bins before 31 August show no counted events in the exported series. They do not establish zero external visits during months without demonstrated analytics coverage. The earlier review dated instrumentation code to 31 August but did not establish the first production deployment, continuous consented capture, event retention or full-period coverage. The new aggregate exports establish a limited captured series; they do not retrospectively close these coverage gaps. [E10, E12, E21-E25]</w:t>
      </w:r>
    </w:p>
    <w:p w14:paraId="3B94A0D2" w14:textId="77777777" w:rsidR="00AF315D" w:rsidRDefault="00BC6908">
      <w:pPr>
        <w:spacing w:after="140" w:line="276" w:lineRule="auto"/>
      </w:pPr>
      <w:r>
        <w:t>The two anonymous MongoDB calculations on 31 August remain unclassified; no link ties them to the PostHog tests. The one in-period account and five at cut-off remain account records. For 5 October, the responsible confirms all 27 accounts as ADA ITS student registrations. Twenty-two generator-ID and exact timestamp matches remain a technical conflict, without automatic account exclusion or independent person verification. March-August results are unchanged. [E11, E12, E16, E20, E22]</w:t>
      </w:r>
    </w:p>
    <w:p w14:paraId="4FEA647E" w14:textId="77777777" w:rsidR="00AF315D" w:rsidRDefault="00BC6908">
      <w:pPr>
        <w:pStyle w:val="Ttulo3"/>
        <w:pageBreakBefore/>
        <w:spacing w:before="0" w:after="160"/>
      </w:pPr>
      <w:bookmarkStart w:id="4" w:name="_Toc243480113"/>
      <w:r>
        <w:lastRenderedPageBreak/>
        <w:t>5 Delivery Decisions Required from Lasith</w:t>
      </w:r>
      <w:bookmarkEnd w:id="4"/>
    </w:p>
    <w:p w14:paraId="6E1E0532" w14:textId="77777777" w:rsidR="00AF315D" w:rsidRDefault="00BC6908">
      <w:pPr>
        <w:spacing w:after="140" w:line="276" w:lineRule="auto"/>
      </w:pPr>
      <w:r>
        <w:t>Hybrid (AMT + API) was proposed by Evenor-Tech and accepted by Lasith on 2 September 2026. Only the per-indicator allocation and technical integration remain pending. AMT is the manual-entry tool and API the automated transmission mechanism. DMS is receiver/intake terminology; its mapping to auto_accept requires confirmation per indicator. At 12:39:27 the transcript gives the conditional DMS -&gt; TRUE rule, without assigning named indicators. The exact October meeting date remains unstated. [E01, E15, E22]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0"/>
        <w:gridCol w:w="2180"/>
        <w:gridCol w:w="3700"/>
      </w:tblGrid>
      <w:tr w:rsidR="00AF315D" w14:paraId="6E38B279" w14:textId="77777777">
        <w:trPr>
          <w:cantSplit/>
          <w:tblHeader/>
          <w:jc w:val="center"/>
        </w:trPr>
        <w:tc>
          <w:tcPr>
            <w:tcW w:w="2460" w:type="dxa"/>
            <w:shd w:val="clear" w:color="auto" w:fill="156082"/>
            <w:tcMar>
              <w:top w:w="85" w:type="dxa"/>
              <w:left w:w="100" w:type="dxa"/>
              <w:bottom w:w="85" w:type="dxa"/>
              <w:right w:w="100" w:type="dxa"/>
            </w:tcMar>
            <w:vAlign w:val="center"/>
          </w:tcPr>
          <w:p w14:paraId="10BA3DB0" w14:textId="77777777" w:rsidR="00AF315D" w:rsidRDefault="00BC6908">
            <w:pPr>
              <w:spacing w:after="0" w:line="240" w:lineRule="auto"/>
              <w:jc w:val="left"/>
            </w:pPr>
            <w:r>
              <w:rPr>
                <w:b/>
                <w:color w:val="FFFFFF"/>
                <w:sz w:val="21"/>
              </w:rPr>
              <w:t>Category</w:t>
            </w:r>
          </w:p>
        </w:tc>
        <w:tc>
          <w:tcPr>
            <w:tcW w:w="2180" w:type="dxa"/>
            <w:shd w:val="clear" w:color="auto" w:fill="156082"/>
            <w:tcMar>
              <w:top w:w="85" w:type="dxa"/>
              <w:left w:w="100" w:type="dxa"/>
              <w:bottom w:w="85" w:type="dxa"/>
              <w:right w:w="100" w:type="dxa"/>
            </w:tcMar>
            <w:vAlign w:val="center"/>
          </w:tcPr>
          <w:p w14:paraId="53DD396A" w14:textId="77777777" w:rsidR="00AF315D" w:rsidRDefault="00BC6908">
            <w:pPr>
              <w:spacing w:after="0" w:line="240" w:lineRule="auto"/>
              <w:jc w:val="left"/>
            </w:pPr>
            <w:r>
              <w:rPr>
                <w:b/>
                <w:color w:val="FFFFFF"/>
                <w:sz w:val="21"/>
              </w:rPr>
              <w:t>Scope</w:t>
            </w:r>
          </w:p>
        </w:tc>
        <w:tc>
          <w:tcPr>
            <w:tcW w:w="3700" w:type="dxa"/>
            <w:shd w:val="clear" w:color="auto" w:fill="156082"/>
            <w:tcMar>
              <w:top w:w="85" w:type="dxa"/>
              <w:left w:w="100" w:type="dxa"/>
              <w:bottom w:w="85" w:type="dxa"/>
              <w:right w:w="100" w:type="dxa"/>
            </w:tcMar>
            <w:vAlign w:val="center"/>
          </w:tcPr>
          <w:p w14:paraId="68F0855A" w14:textId="77777777" w:rsidR="00AF315D" w:rsidRDefault="00BC6908">
            <w:pPr>
              <w:spacing w:after="0" w:line="240" w:lineRule="auto"/>
              <w:jc w:val="left"/>
            </w:pPr>
            <w:r>
              <w:rPr>
                <w:b/>
                <w:color w:val="FFFFFF"/>
                <w:sz w:val="21"/>
              </w:rPr>
              <w:t>Configuration</w:t>
            </w:r>
          </w:p>
        </w:tc>
      </w:tr>
      <w:tr w:rsidR="00AF315D" w14:paraId="3D58086B" w14:textId="77777777">
        <w:trPr>
          <w:cantSplit/>
          <w:jc w:val="center"/>
        </w:trPr>
        <w:tc>
          <w:tcPr>
            <w:tcW w:w="2460" w:type="dxa"/>
            <w:shd w:val="clear" w:color="auto" w:fill="FFFFFF"/>
            <w:tcMar>
              <w:top w:w="85" w:type="dxa"/>
              <w:left w:w="100" w:type="dxa"/>
              <w:bottom w:w="85" w:type="dxa"/>
              <w:right w:w="100" w:type="dxa"/>
            </w:tcMar>
            <w:vAlign w:val="center"/>
          </w:tcPr>
          <w:p w14:paraId="1023B190" w14:textId="77777777" w:rsidR="00AF315D" w:rsidRDefault="00BC6908">
            <w:pPr>
              <w:spacing w:after="0" w:line="240" w:lineRule="auto"/>
              <w:jc w:val="left"/>
            </w:pPr>
            <w:r>
              <w:rPr>
                <w:color w:val="000000"/>
                <w:sz w:val="21"/>
              </w:rPr>
              <w:t>Overall modality</w:t>
            </w:r>
          </w:p>
        </w:tc>
        <w:tc>
          <w:tcPr>
            <w:tcW w:w="2180" w:type="dxa"/>
            <w:shd w:val="clear" w:color="auto" w:fill="FFFFFF"/>
            <w:tcMar>
              <w:top w:w="85" w:type="dxa"/>
              <w:left w:w="100" w:type="dxa"/>
              <w:bottom w:w="85" w:type="dxa"/>
              <w:right w:w="100" w:type="dxa"/>
            </w:tcMar>
            <w:vAlign w:val="center"/>
          </w:tcPr>
          <w:p w14:paraId="445FA07A" w14:textId="77777777" w:rsidR="00AF315D" w:rsidRDefault="00BC6908">
            <w:pPr>
              <w:spacing w:after="0" w:line="240" w:lineRule="auto"/>
              <w:jc w:val="left"/>
            </w:pPr>
            <w:r>
              <w:rPr>
                <w:color w:val="000000"/>
                <w:sz w:val="21"/>
              </w:rPr>
              <w:t>Hybrid (AMT + API)</w:t>
            </w:r>
          </w:p>
        </w:tc>
        <w:tc>
          <w:tcPr>
            <w:tcW w:w="3700" w:type="dxa"/>
            <w:shd w:val="clear" w:color="auto" w:fill="FFFFFF"/>
            <w:tcMar>
              <w:top w:w="85" w:type="dxa"/>
              <w:left w:w="100" w:type="dxa"/>
              <w:bottom w:w="85" w:type="dxa"/>
              <w:right w:w="100" w:type="dxa"/>
            </w:tcMar>
            <w:vAlign w:val="center"/>
          </w:tcPr>
          <w:p w14:paraId="239C46E2" w14:textId="77777777" w:rsidR="00AF315D" w:rsidRDefault="00BC6908">
            <w:pPr>
              <w:spacing w:after="0" w:line="240" w:lineRule="auto"/>
              <w:jc w:val="left"/>
            </w:pPr>
            <w:r>
              <w:rPr>
                <w:color w:val="000000"/>
                <w:sz w:val="21"/>
              </w:rPr>
              <w:t>Proposed and accepted 2 September 2026.</w:t>
            </w:r>
          </w:p>
        </w:tc>
      </w:tr>
      <w:tr w:rsidR="00AF315D" w14:paraId="47A6A7F0" w14:textId="77777777">
        <w:trPr>
          <w:cantSplit/>
          <w:jc w:val="center"/>
        </w:trPr>
        <w:tc>
          <w:tcPr>
            <w:tcW w:w="2460" w:type="dxa"/>
            <w:shd w:val="clear" w:color="auto" w:fill="F2F6F8"/>
            <w:tcMar>
              <w:top w:w="85" w:type="dxa"/>
              <w:left w:w="100" w:type="dxa"/>
              <w:bottom w:w="85" w:type="dxa"/>
              <w:right w:w="100" w:type="dxa"/>
            </w:tcMar>
            <w:vAlign w:val="center"/>
          </w:tcPr>
          <w:p w14:paraId="7547D32D" w14:textId="77777777" w:rsidR="00AF315D" w:rsidRDefault="00BC6908">
            <w:pPr>
              <w:spacing w:after="0" w:line="240" w:lineRule="auto"/>
              <w:jc w:val="left"/>
            </w:pPr>
            <w:r>
              <w:rPr>
                <w:color w:val="000000"/>
                <w:sz w:val="21"/>
              </w:rPr>
              <w:t>Per-indicator allocation</w:t>
            </w:r>
          </w:p>
        </w:tc>
        <w:tc>
          <w:tcPr>
            <w:tcW w:w="2180" w:type="dxa"/>
            <w:shd w:val="clear" w:color="auto" w:fill="F2F6F8"/>
            <w:tcMar>
              <w:top w:w="85" w:type="dxa"/>
              <w:left w:w="100" w:type="dxa"/>
              <w:bottom w:w="85" w:type="dxa"/>
              <w:right w:w="100" w:type="dxa"/>
            </w:tcMar>
            <w:vAlign w:val="center"/>
          </w:tcPr>
          <w:p w14:paraId="5F7D4B2C" w14:textId="77777777" w:rsidR="00AF315D" w:rsidRDefault="00BC6908">
            <w:pPr>
              <w:spacing w:after="0" w:line="240" w:lineRule="auto"/>
              <w:jc w:val="left"/>
            </w:pPr>
            <w:r>
              <w:rPr>
                <w:color w:val="000000"/>
                <w:sz w:val="21"/>
              </w:rPr>
              <w:t>All nine codes</w:t>
            </w:r>
          </w:p>
        </w:tc>
        <w:tc>
          <w:tcPr>
            <w:tcW w:w="3700" w:type="dxa"/>
            <w:shd w:val="clear" w:color="auto" w:fill="F2F6F8"/>
            <w:tcMar>
              <w:top w:w="85" w:type="dxa"/>
              <w:left w:w="100" w:type="dxa"/>
              <w:bottom w:w="85" w:type="dxa"/>
              <w:right w:w="100" w:type="dxa"/>
            </w:tcMar>
            <w:vAlign w:val="center"/>
          </w:tcPr>
          <w:p w14:paraId="64B9D17D" w14:textId="77777777" w:rsidR="00AF315D" w:rsidRDefault="00BC6908">
            <w:pPr>
              <w:spacing w:after="0" w:line="240" w:lineRule="auto"/>
              <w:jc w:val="left"/>
            </w:pPr>
            <w:r>
              <w:rPr>
                <w:color w:val="000000"/>
                <w:sz w:val="21"/>
              </w:rPr>
              <w:t>Pending agreement with Lasith.</w:t>
            </w:r>
          </w:p>
        </w:tc>
      </w:tr>
      <w:tr w:rsidR="00AF315D" w14:paraId="0BB38F8E" w14:textId="77777777">
        <w:trPr>
          <w:cantSplit/>
          <w:jc w:val="center"/>
        </w:trPr>
        <w:tc>
          <w:tcPr>
            <w:tcW w:w="2460" w:type="dxa"/>
            <w:shd w:val="clear" w:color="auto" w:fill="FFFFFF"/>
            <w:tcMar>
              <w:top w:w="85" w:type="dxa"/>
              <w:left w:w="100" w:type="dxa"/>
              <w:bottom w:w="85" w:type="dxa"/>
              <w:right w:w="100" w:type="dxa"/>
            </w:tcMar>
            <w:vAlign w:val="center"/>
          </w:tcPr>
          <w:p w14:paraId="5F8581DF" w14:textId="77777777" w:rsidR="00AF315D" w:rsidRDefault="00BC6908">
            <w:pPr>
              <w:spacing w:after="0" w:line="240" w:lineRule="auto"/>
              <w:jc w:val="left"/>
            </w:pPr>
            <w:r>
              <w:rPr>
                <w:color w:val="000000"/>
                <w:sz w:val="21"/>
              </w:rPr>
              <w:t>auto_accept</w:t>
            </w:r>
          </w:p>
        </w:tc>
        <w:tc>
          <w:tcPr>
            <w:tcW w:w="2180" w:type="dxa"/>
            <w:shd w:val="clear" w:color="auto" w:fill="FFFFFF"/>
            <w:tcMar>
              <w:top w:w="85" w:type="dxa"/>
              <w:left w:w="100" w:type="dxa"/>
              <w:bottom w:w="85" w:type="dxa"/>
              <w:right w:w="100" w:type="dxa"/>
            </w:tcMar>
            <w:vAlign w:val="center"/>
          </w:tcPr>
          <w:p w14:paraId="1FD42021" w14:textId="77777777" w:rsidR="00AF315D" w:rsidRDefault="00BC6908">
            <w:pPr>
              <w:spacing w:after="0" w:line="240" w:lineRule="auto"/>
              <w:jc w:val="left"/>
            </w:pPr>
            <w:r>
              <w:rPr>
                <w:color w:val="000000"/>
                <w:sz w:val="21"/>
              </w:rPr>
              <w:t>All nine codes</w:t>
            </w:r>
          </w:p>
        </w:tc>
        <w:tc>
          <w:tcPr>
            <w:tcW w:w="3700" w:type="dxa"/>
            <w:shd w:val="clear" w:color="auto" w:fill="FFFFFF"/>
            <w:tcMar>
              <w:top w:w="85" w:type="dxa"/>
              <w:left w:w="100" w:type="dxa"/>
              <w:bottom w:w="85" w:type="dxa"/>
              <w:right w:w="100" w:type="dxa"/>
            </w:tcMar>
            <w:vAlign w:val="center"/>
          </w:tcPr>
          <w:p w14:paraId="27E15CD8" w14:textId="77777777" w:rsidR="00AF315D" w:rsidRDefault="00BC6908">
            <w:pPr>
              <w:spacing w:after="0" w:line="240" w:lineRule="auto"/>
              <w:jc w:val="left"/>
            </w:pPr>
            <w:r>
              <w:rPr>
                <w:color w:val="000000"/>
                <w:sz w:val="21"/>
              </w:rPr>
              <w:t>Blank pending the per-code DMS mapping.</w:t>
            </w:r>
          </w:p>
        </w:tc>
      </w:tr>
    </w:tbl>
    <w:p w14:paraId="02970033" w14:textId="77777777" w:rsidR="00AF315D" w:rsidRDefault="00BC6908">
      <w:pPr>
        <w:pStyle w:val="Descripcin"/>
        <w:spacing w:before="80" w:after="160"/>
      </w:pPr>
      <w:r>
        <w:t>Table 3. No provisional route is presented as an approved RURACTIVE configuration.</w:t>
      </w:r>
    </w:p>
    <w:p w14:paraId="75EF4E2F" w14:textId="77777777" w:rsidR="00AF315D" w:rsidRDefault="00BC6908">
      <w:pPr>
        <w:spacing w:after="140" w:line="276" w:lineRule="auto"/>
      </w:pPr>
      <w:r>
        <w:t>Lasith should confirm the mechanism for each code, the DMS/auto_accept mapping, missing-value encoding, receiver schema and receipt requirements. The overall Hybrid choice does not need to be selected again. TRUE applies only when the corresponding DMS route is confirmed; an unset route is not FALSE. Intake acceptance does not certify an indicator result. No settings or feeds have been changed. [E15, E22]</w:t>
      </w:r>
    </w:p>
    <w:p w14:paraId="789760FA" w14:textId="77777777" w:rsidR="00AF315D" w:rsidRDefault="00BC6908">
      <w:pPr>
        <w:spacing w:after="140" w:line="276" w:lineRule="auto"/>
      </w:pPr>
      <w:r>
        <w:t>Measurement decisions also remain: acceptance and labelling of internally declared zeros; eligible citizen activity and exclusion of coordination demonstrations; participant versus registered-user targets and repeat counting; the annual jobs window and jobs/FTE interpretation; unique-user/session definitions and partial analytics coverage; NBS4.20 ratio/target mapping; simulated footprint aggregation; and satisfaction/demographic denominators, missing-data handling and temporal windows. These decisions do not create measurements where no historical data exist. [E01, E15, E22]</w:t>
      </w:r>
    </w:p>
    <w:p w14:paraId="627049FC" w14:textId="77777777" w:rsidR="00AF315D" w:rsidRDefault="00BC6908">
      <w:pPr>
        <w:pStyle w:val="Ttulo3"/>
        <w:pageBreakBefore/>
        <w:spacing w:before="0" w:after="160"/>
      </w:pPr>
      <w:bookmarkStart w:id="5" w:name="_Toc243480114"/>
      <w:r>
        <w:lastRenderedPageBreak/>
        <w:t>6 Package Status and Remaining Actions</w:t>
      </w:r>
      <w:bookmarkEnd w:id="5"/>
    </w:p>
    <w:p w14:paraId="08D3296F" w14:textId="77777777" w:rsidR="00AF315D" w:rsidRDefault="00BC6908">
      <w:pPr>
        <w:spacing w:after="140" w:line="276" w:lineRule="auto"/>
      </w:pPr>
      <w:r>
        <w:t>The updated package is ready for internal review and for preparing a response that distinguishes declared results, observed internal activity and unavailable measurements. It is not a completed formally validated submission or an approval by RURACTIVE. Whether and how declarations are accepted in the reporting system remains for Lasith to confirm.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5820"/>
      </w:tblGrid>
      <w:tr w:rsidR="00AF315D" w14:paraId="26C8B298" w14:textId="77777777">
        <w:trPr>
          <w:cantSplit/>
          <w:tblHeader/>
          <w:jc w:val="center"/>
        </w:trPr>
        <w:tc>
          <w:tcPr>
            <w:tcW w:w="2520" w:type="dxa"/>
            <w:shd w:val="clear" w:color="auto" w:fill="156082"/>
            <w:tcMar>
              <w:top w:w="85" w:type="dxa"/>
              <w:left w:w="100" w:type="dxa"/>
              <w:bottom w:w="85" w:type="dxa"/>
              <w:right w:w="100" w:type="dxa"/>
            </w:tcMar>
            <w:vAlign w:val="center"/>
          </w:tcPr>
          <w:p w14:paraId="27E9357B" w14:textId="77777777" w:rsidR="00AF315D" w:rsidRDefault="00BC6908">
            <w:pPr>
              <w:spacing w:after="0" w:line="240" w:lineRule="auto"/>
              <w:jc w:val="left"/>
            </w:pPr>
            <w:r>
              <w:rPr>
                <w:b/>
                <w:color w:val="FFFFFF"/>
                <w:sz w:val="21"/>
              </w:rPr>
              <w:t>Responsible owner</w:t>
            </w:r>
          </w:p>
        </w:tc>
        <w:tc>
          <w:tcPr>
            <w:tcW w:w="5820" w:type="dxa"/>
            <w:shd w:val="clear" w:color="auto" w:fill="156082"/>
            <w:tcMar>
              <w:top w:w="85" w:type="dxa"/>
              <w:left w:w="100" w:type="dxa"/>
              <w:bottom w:w="85" w:type="dxa"/>
              <w:right w:w="100" w:type="dxa"/>
            </w:tcMar>
            <w:vAlign w:val="center"/>
          </w:tcPr>
          <w:p w14:paraId="38B58554" w14:textId="77777777" w:rsidR="00AF315D" w:rsidRDefault="00BC6908">
            <w:pPr>
              <w:spacing w:after="0" w:line="240" w:lineRule="auto"/>
              <w:jc w:val="left"/>
            </w:pPr>
            <w:r>
              <w:rPr>
                <w:b/>
                <w:color w:val="FFFFFF"/>
                <w:sz w:val="21"/>
              </w:rPr>
              <w:t>Next action</w:t>
            </w:r>
          </w:p>
        </w:tc>
      </w:tr>
      <w:tr w:rsidR="00AF315D" w14:paraId="076F6270" w14:textId="77777777">
        <w:trPr>
          <w:cantSplit/>
          <w:jc w:val="center"/>
        </w:trPr>
        <w:tc>
          <w:tcPr>
            <w:tcW w:w="2520" w:type="dxa"/>
            <w:shd w:val="clear" w:color="auto" w:fill="FFFFFF"/>
            <w:tcMar>
              <w:top w:w="85" w:type="dxa"/>
              <w:left w:w="100" w:type="dxa"/>
              <w:bottom w:w="85" w:type="dxa"/>
              <w:right w:w="100" w:type="dxa"/>
            </w:tcMar>
            <w:vAlign w:val="center"/>
          </w:tcPr>
          <w:p w14:paraId="7C784B34" w14:textId="77777777" w:rsidR="00AF315D" w:rsidRDefault="00BC6908">
            <w:pPr>
              <w:spacing w:after="0" w:line="240" w:lineRule="auto"/>
              <w:jc w:val="left"/>
            </w:pPr>
            <w:r>
              <w:rPr>
                <w:color w:val="000000"/>
                <w:sz w:val="21"/>
              </w:rPr>
              <w:t>Evenor-Tech activity owner</w:t>
            </w:r>
          </w:p>
        </w:tc>
        <w:tc>
          <w:tcPr>
            <w:tcW w:w="5820" w:type="dxa"/>
            <w:shd w:val="clear" w:color="auto" w:fill="FFFFFF"/>
            <w:tcMar>
              <w:top w:w="85" w:type="dxa"/>
              <w:left w:w="100" w:type="dxa"/>
              <w:bottom w:w="85" w:type="dxa"/>
              <w:right w:w="100" w:type="dxa"/>
            </w:tcMar>
            <w:vAlign w:val="center"/>
          </w:tcPr>
          <w:p w14:paraId="2DEA0FDD" w14:textId="77777777" w:rsidR="00AF315D" w:rsidRDefault="00BC6908">
            <w:pPr>
              <w:spacing w:after="0" w:line="240" w:lineRule="auto"/>
              <w:jc w:val="left"/>
            </w:pPr>
            <w:r>
              <w:rPr>
                <w:color w:val="000000"/>
                <w:sz w:val="21"/>
              </w:rPr>
              <w:t>Corroborate the declared period zeros; obtain Lasith’s acceptance of institutional activity eligibility; retain attendance before certifying the later 48-person breakdown.</w:t>
            </w:r>
          </w:p>
        </w:tc>
      </w:tr>
      <w:tr w:rsidR="00AF315D" w14:paraId="53D6FBB4" w14:textId="77777777">
        <w:trPr>
          <w:cantSplit/>
          <w:jc w:val="center"/>
        </w:trPr>
        <w:tc>
          <w:tcPr>
            <w:tcW w:w="2520" w:type="dxa"/>
            <w:shd w:val="clear" w:color="auto" w:fill="F2F6F8"/>
            <w:tcMar>
              <w:top w:w="85" w:type="dxa"/>
              <w:left w:w="100" w:type="dxa"/>
              <w:bottom w:w="85" w:type="dxa"/>
              <w:right w:w="100" w:type="dxa"/>
            </w:tcMar>
            <w:vAlign w:val="center"/>
          </w:tcPr>
          <w:p w14:paraId="57200B4C" w14:textId="77777777" w:rsidR="00AF315D" w:rsidRDefault="00BC6908">
            <w:pPr>
              <w:spacing w:after="0" w:line="240" w:lineRule="auto"/>
              <w:jc w:val="left"/>
            </w:pPr>
            <w:r>
              <w:rPr>
                <w:color w:val="000000"/>
                <w:sz w:val="21"/>
              </w:rPr>
              <w:t>Evenor-Tech HR</w:t>
            </w:r>
          </w:p>
        </w:tc>
        <w:tc>
          <w:tcPr>
            <w:tcW w:w="5820" w:type="dxa"/>
            <w:shd w:val="clear" w:color="auto" w:fill="F2F6F8"/>
            <w:tcMar>
              <w:top w:w="85" w:type="dxa"/>
              <w:left w:w="100" w:type="dxa"/>
              <w:bottom w:w="85" w:type="dxa"/>
              <w:right w:w="100" w:type="dxa"/>
            </w:tcMar>
            <w:vAlign w:val="center"/>
          </w:tcPr>
          <w:p w14:paraId="035E4DB0" w14:textId="77777777" w:rsidR="00AF315D" w:rsidRDefault="00BC6908">
            <w:pPr>
              <w:spacing w:after="0" w:line="240" w:lineRule="auto"/>
              <w:jc w:val="left"/>
            </w:pPr>
            <w:r>
              <w:rPr>
                <w:color w:val="000000"/>
                <w:sz w:val="21"/>
              </w:rPr>
              <w:t>Corroborate the partial-period job zero and complete the agreed annual observation.</w:t>
            </w:r>
          </w:p>
        </w:tc>
      </w:tr>
      <w:tr w:rsidR="00AF315D" w14:paraId="4EF76C9A" w14:textId="77777777">
        <w:trPr>
          <w:cantSplit/>
          <w:jc w:val="center"/>
        </w:trPr>
        <w:tc>
          <w:tcPr>
            <w:tcW w:w="2520" w:type="dxa"/>
            <w:shd w:val="clear" w:color="auto" w:fill="FFFFFF"/>
            <w:tcMar>
              <w:top w:w="85" w:type="dxa"/>
              <w:left w:w="100" w:type="dxa"/>
              <w:bottom w:w="85" w:type="dxa"/>
              <w:right w:w="100" w:type="dxa"/>
            </w:tcMar>
            <w:vAlign w:val="center"/>
          </w:tcPr>
          <w:p w14:paraId="79830D04" w14:textId="77777777" w:rsidR="00AF315D" w:rsidRDefault="00BC6908">
            <w:pPr>
              <w:spacing w:after="0" w:line="240" w:lineRule="auto"/>
              <w:jc w:val="left"/>
            </w:pPr>
            <w:r>
              <w:rPr>
                <w:color w:val="000000"/>
                <w:sz w:val="21"/>
              </w:rPr>
              <w:t>ANFORA analytics owner</w:t>
            </w:r>
          </w:p>
        </w:tc>
        <w:tc>
          <w:tcPr>
            <w:tcW w:w="5820" w:type="dxa"/>
            <w:shd w:val="clear" w:color="auto" w:fill="FFFFFF"/>
            <w:tcMar>
              <w:top w:w="85" w:type="dxa"/>
              <w:left w:w="100" w:type="dxa"/>
              <w:bottom w:w="85" w:type="dxa"/>
              <w:right w:w="100" w:type="dxa"/>
            </w:tcMar>
            <w:vAlign w:val="center"/>
          </w:tcPr>
          <w:p w14:paraId="3397507C" w14:textId="77777777" w:rsidR="00AF315D" w:rsidRDefault="00BC6908">
            <w:pPr>
              <w:spacing w:after="0" w:line="240" w:lineRule="auto"/>
              <w:jc w:val="left"/>
            </w:pPr>
            <w:r>
              <w:rPr>
                <w:color w:val="000000"/>
                <w:sz w:val="21"/>
              </w:rPr>
              <w:t>Preserve raw CSVs and insight settings; document deployment/consent coverage and internal testing; resolve the two MongoDB calculations separately.</w:t>
            </w:r>
          </w:p>
        </w:tc>
      </w:tr>
      <w:tr w:rsidR="00AF315D" w14:paraId="50809C8F" w14:textId="77777777">
        <w:trPr>
          <w:cantSplit/>
          <w:jc w:val="center"/>
        </w:trPr>
        <w:tc>
          <w:tcPr>
            <w:tcW w:w="2520" w:type="dxa"/>
            <w:shd w:val="clear" w:color="auto" w:fill="F2F6F8"/>
            <w:tcMar>
              <w:top w:w="85" w:type="dxa"/>
              <w:left w:w="100" w:type="dxa"/>
              <w:bottom w:w="85" w:type="dxa"/>
              <w:right w:w="100" w:type="dxa"/>
            </w:tcMar>
            <w:vAlign w:val="center"/>
          </w:tcPr>
          <w:p w14:paraId="050E3BB2" w14:textId="77777777" w:rsidR="00AF315D" w:rsidRDefault="00BC6908">
            <w:pPr>
              <w:spacing w:after="0" w:line="240" w:lineRule="auto"/>
              <w:jc w:val="left"/>
            </w:pPr>
            <w:r>
              <w:rPr>
                <w:color w:val="000000"/>
                <w:sz w:val="21"/>
              </w:rPr>
              <w:t>Lasith</w:t>
            </w:r>
          </w:p>
        </w:tc>
        <w:tc>
          <w:tcPr>
            <w:tcW w:w="5820" w:type="dxa"/>
            <w:shd w:val="clear" w:color="auto" w:fill="F2F6F8"/>
            <w:tcMar>
              <w:top w:w="85" w:type="dxa"/>
              <w:left w:w="100" w:type="dxa"/>
              <w:bottom w:w="85" w:type="dxa"/>
              <w:right w:w="100" w:type="dxa"/>
            </w:tcMar>
            <w:vAlign w:val="center"/>
          </w:tcPr>
          <w:p w14:paraId="0E14D6C9" w14:textId="77777777" w:rsidR="00AF315D" w:rsidRDefault="00BC6908">
            <w:pPr>
              <w:spacing w:after="0" w:line="240" w:lineRule="auto"/>
              <w:jc w:val="left"/>
            </w:pPr>
            <w:r>
              <w:rPr>
                <w:color w:val="000000"/>
                <w:sz w:val="21"/>
              </w:rPr>
              <w:t>Confirm routes, auto_accept and missing-value rules, declaration acceptance and the metric/scope decisions in Section 5.</w:t>
            </w:r>
          </w:p>
        </w:tc>
      </w:tr>
      <w:tr w:rsidR="00AF315D" w14:paraId="793EB6DF" w14:textId="77777777">
        <w:trPr>
          <w:cantSplit/>
          <w:jc w:val="center"/>
        </w:trPr>
        <w:tc>
          <w:tcPr>
            <w:tcW w:w="2520" w:type="dxa"/>
            <w:shd w:val="clear" w:color="auto" w:fill="FFFFFF"/>
            <w:tcMar>
              <w:top w:w="85" w:type="dxa"/>
              <w:left w:w="100" w:type="dxa"/>
              <w:bottom w:w="85" w:type="dxa"/>
              <w:right w:w="100" w:type="dxa"/>
            </w:tcMar>
            <w:vAlign w:val="center"/>
          </w:tcPr>
          <w:p w14:paraId="7102F4FC" w14:textId="77777777" w:rsidR="00AF315D" w:rsidRDefault="00BC6908">
            <w:pPr>
              <w:spacing w:after="0" w:line="240" w:lineRule="auto"/>
              <w:jc w:val="left"/>
            </w:pPr>
            <w:r>
              <w:rPr>
                <w:color w:val="000000"/>
                <w:sz w:val="21"/>
              </w:rPr>
              <w:t>Relevant data owners</w:t>
            </w:r>
          </w:p>
        </w:tc>
        <w:tc>
          <w:tcPr>
            <w:tcW w:w="5820" w:type="dxa"/>
            <w:shd w:val="clear" w:color="auto" w:fill="FFFFFF"/>
            <w:tcMar>
              <w:top w:w="85" w:type="dxa"/>
              <w:left w:w="100" w:type="dxa"/>
              <w:bottom w:w="85" w:type="dxa"/>
              <w:right w:w="100" w:type="dxa"/>
            </w:tcMar>
            <w:vAlign w:val="center"/>
          </w:tcPr>
          <w:p w14:paraId="197D5BFD" w14:textId="77777777" w:rsidR="00AF315D" w:rsidRDefault="00BC6908">
            <w:pPr>
              <w:spacing w:after="0" w:line="240" w:lineRule="auto"/>
              <w:jc w:val="left"/>
            </w:pPr>
            <w:r>
              <w:rPr>
                <w:color w:val="000000"/>
                <w:sz w:val="21"/>
              </w:rPr>
              <w:t>Retain historical measurement gaps for water, energy, paired scenarios, surveys and demographics. Plan future collection separately; do not backfill absent outcomes with zero.</w:t>
            </w:r>
          </w:p>
        </w:tc>
      </w:tr>
    </w:tbl>
    <w:p w14:paraId="75FA9187" w14:textId="77777777" w:rsidR="00AF315D" w:rsidRDefault="00BC6908">
      <w:pPr>
        <w:pStyle w:val="Descripcin"/>
        <w:spacing w:before="80" w:after="160"/>
      </w:pPr>
      <w:r>
        <w:t>Table 4. Remaining actions without claiming that unavailable historical records can be recovered.</w:t>
      </w:r>
    </w:p>
    <w:p w14:paraId="28ADE673" w14:textId="77777777" w:rsidR="00AF315D" w:rsidRDefault="00BC6908">
      <w:pPr>
        <w:spacing w:after="140" w:line="276" w:lineRule="auto"/>
      </w:pPr>
      <w:r>
        <w:t>The six Revision 3 deliverables form the consolidated working package. One verified backup preserves Rev2 and Rev3 before these final corrections. The three raw PostHog CSVs, original Mid Validation documents, annexes and Lasith transcript remain intact. Technical Integration Analysis is retained unchanged as the preceding design review; its correction checklist and Rev3 hashes describe the pre-consolidation snapshot. No application, database, credentials, configuration, deployment or Git history has been modified.</w:t>
      </w:r>
    </w:p>
    <w:p w14:paraId="326E8DBD" w14:textId="77777777" w:rsidR="00AF315D" w:rsidRDefault="00BC6908">
      <w:pPr>
        <w:pStyle w:val="Ttulo3"/>
        <w:pageBreakBefore/>
        <w:spacing w:before="0" w:after="160"/>
      </w:pPr>
      <w:bookmarkStart w:id="6" w:name="_Toc243480115"/>
      <w:r>
        <w:lastRenderedPageBreak/>
        <w:t>7 Sources and Supporting Evidence</w:t>
      </w:r>
      <w:bookmarkEnd w:id="6"/>
    </w:p>
    <w:p w14:paraId="56405BD5" w14:textId="77777777" w:rsidR="00AF315D" w:rsidRDefault="00BC6908">
      <w:pPr>
        <w:spacing w:after="140" w:line="276" w:lineRule="auto"/>
      </w:pPr>
      <w:r>
        <w:rPr>
          <w:sz w:val="20"/>
        </w:rPr>
        <w:t>Source references match the evidence register. Documentary sources, internal declarations and aggregate exports retain distinct evidential roles. Exact source locators and limitations are recorded in the traceability workbook.</w:t>
      </w:r>
    </w:p>
    <w:p w14:paraId="7E0FE1DA" w14:textId="77777777" w:rsidR="00AF315D" w:rsidRDefault="00BC6908">
      <w:pPr>
        <w:spacing w:after="100" w:line="240" w:lineRule="auto"/>
        <w:jc w:val="left"/>
      </w:pPr>
      <w:r>
        <w:rPr>
          <w:sz w:val="20"/>
        </w:rPr>
        <w:t>[E01] Official Innovator Indicators matrix. ANFORA_Innovator_Indicators.xlsx; D05-ANFORA!A2:R16. Received template; reviewed 20 October 2026.</w:t>
      </w:r>
    </w:p>
    <w:p w14:paraId="4258627A" w14:textId="77777777" w:rsidR="00AF315D" w:rsidRDefault="00BC6908">
      <w:pPr>
        <w:spacing w:after="100" w:line="240" w:lineRule="auto"/>
        <w:jc w:val="left"/>
      </w:pPr>
      <w:r>
        <w:rPr>
          <w:sz w:val="20"/>
        </w:rPr>
        <w:t>[E02] Earlier indicator-method workbook. ANFORA_Innovator_Indicators_final.xlsx; D05-ANFORA!B1:O12. Earlier retained version.</w:t>
      </w:r>
    </w:p>
    <w:p w14:paraId="53C6CCF1" w14:textId="77777777" w:rsidR="00AF315D" w:rsidRDefault="00BC6908">
      <w:pPr>
        <w:spacing w:after="100" w:line="240" w:lineRule="auto"/>
        <w:jc w:val="left"/>
      </w:pPr>
      <w:r>
        <w:rPr>
          <w:sz w:val="20"/>
        </w:rPr>
        <w:t>[E03] Submitted Mid Validation report. ANFORA_Mid_Validation_Report_2026.docx/.pdf; sections 1, 3.3 and Annex A. Submitted 7 September 2026; monitoring 1 March–31 August.</w:t>
      </w:r>
    </w:p>
    <w:p w14:paraId="0CB1259A" w14:textId="77777777" w:rsidR="00AF315D" w:rsidRDefault="00BC6908">
      <w:pPr>
        <w:spacing w:after="100" w:line="240" w:lineRule="auto"/>
        <w:jc w:val="left"/>
      </w:pPr>
      <w:r>
        <w:rPr>
          <w:sz w:val="20"/>
        </w:rPr>
        <w:t>[E04] Earlier data-collection workbook. ANFORA_Data_Collection_Mid_Validation.xlsx; Sheet1!A2:F12. 1 March–31 August 2026.</w:t>
      </w:r>
    </w:p>
    <w:p w14:paraId="02FC3594" w14:textId="77777777" w:rsidR="00AF315D" w:rsidRDefault="00BC6908">
      <w:pPr>
        <w:spacing w:after="100" w:line="240" w:lineRule="auto"/>
        <w:jc w:val="left"/>
      </w:pPr>
      <w:r>
        <w:rPr>
          <w:sz w:val="20"/>
        </w:rPr>
        <w:t>[E05] ANFORA technical proposal. A1_ANFORA_Technical_Proposal.pdf; objectives, activity schedule and KPI commitments. Proposal; 23 pages.</w:t>
      </w:r>
    </w:p>
    <w:p w14:paraId="20A01DD3" w14:textId="77777777" w:rsidR="00AF315D" w:rsidRDefault="00BC6908">
      <w:pPr>
        <w:spacing w:after="100" w:line="240" w:lineRule="auto"/>
        <w:jc w:val="left"/>
      </w:pPr>
      <w:r>
        <w:rPr>
          <w:sz w:val="20"/>
        </w:rPr>
        <w:t>[E06] Lucena coordination meeting. A5_Lucena_Coordination_Meeting_2026-08-05_ENG.pdf; pp. 1–3. 5 August 2026; minutes prepared 4 September. Institutional ANFORA presentation on 5 August to Vera of BALAM and Lucena City Council representatives to coordinate dissemination; not training or an open public citizen activity. Evenor-Tech confirms the agreed dissemination actions have not materialised. Minutes remain pending party validation; no eligible citizen roster is supplied. RRTG.SC-01b classification remains pending acceptance by Lasith; institutional representatives are not automatically counted.</w:t>
      </w:r>
    </w:p>
    <w:p w14:paraId="39A4DDD4" w14:textId="77777777" w:rsidR="00AF315D" w:rsidRDefault="00BC6908">
      <w:pPr>
        <w:spacing w:after="100" w:line="240" w:lineRule="auto"/>
        <w:jc w:val="left"/>
      </w:pPr>
      <w:r>
        <w:rPr>
          <w:sz w:val="20"/>
        </w:rPr>
        <w:t>[E07] Outreach evidence. A6_ANFORA_Outreach_Evidence_August_2026_ENG.pdf; pp. 1–5. Campaign 24–25 June; specific invitations 27 August 2026.</w:t>
      </w:r>
    </w:p>
    <w:p w14:paraId="04DEE503" w14:textId="77777777" w:rsidR="00AF315D" w:rsidRDefault="00BC6908">
      <w:pPr>
        <w:spacing w:after="100" w:line="240" w:lineRule="auto"/>
        <w:jc w:val="left"/>
      </w:pPr>
      <w:r>
        <w:rPr>
          <w:sz w:val="20"/>
        </w:rPr>
        <w:t>[E08] Educator webinar delivery evidence. A7_Educator_Webinar_Evidence_2026-09-03_ENG.pdf; pp. 1–6. 3 September 2026; after cut-off.</w:t>
      </w:r>
    </w:p>
    <w:p w14:paraId="76045324" w14:textId="77777777" w:rsidR="00AF315D" w:rsidRDefault="00BC6908">
      <w:pPr>
        <w:spacing w:after="100" w:line="240" w:lineRule="auto"/>
        <w:jc w:val="left"/>
      </w:pPr>
      <w:r>
        <w:rPr>
          <w:sz w:val="20"/>
        </w:rPr>
        <w:t>[E09] Bilingual training resources. Training materials; ENG Units 01–06 and ESP Temas 01–06; PDF metadata dated 24 April 2026. Materials within monitoring period.</w:t>
      </w:r>
    </w:p>
    <w:p w14:paraId="1EF68EFB" w14:textId="77777777" w:rsidR="00AF315D" w:rsidRDefault="00BC6908">
      <w:pPr>
        <w:spacing w:after="100" w:line="240" w:lineRule="auto"/>
        <w:jc w:val="left"/>
      </w:pPr>
      <w:r>
        <w:rPr>
          <w:sz w:val="20"/>
        </w:rPr>
        <w:t>[E10] Dated application development evidence. Frontend commits 1cef80f, 6b4a706, 5e2efc1, b9b84ed; backend commits 2db2237, 896496c, a3e190c; code line register retained. April–October 2026, separated by cut-off.</w:t>
      </w:r>
    </w:p>
    <w:p w14:paraId="73D7F33F" w14:textId="77777777" w:rsidR="00AF315D" w:rsidRDefault="00BC6908">
      <w:pPr>
        <w:spacing w:after="100" w:line="240" w:lineRule="auto"/>
        <w:jc w:val="left"/>
      </w:pPr>
      <w:r>
        <w:rPr>
          <w:sz w:val="20"/>
        </w:rPr>
        <w:t>[E11] Read-only database aggregate verification. Database anfora; users.createdAt; calculated_recipes.calculatedAt; recipes.created; weekly_menus.created; aggregate extract and predicates in Data extracts sheet. 20 October 2026, 12:08 CEST; records filtered to specified periods.</w:t>
      </w:r>
    </w:p>
    <w:p w14:paraId="3E9B9D57" w14:textId="77777777" w:rsidR="00AF315D" w:rsidRDefault="00BC6908">
      <w:pPr>
        <w:spacing w:after="100" w:line="240" w:lineRule="auto"/>
        <w:jc w:val="left"/>
      </w:pPr>
      <w:r>
        <w:rPr>
          <w:sz w:val="20"/>
        </w:rPr>
        <w:t>[E12] Analytics and eligibility controls. User.js lines 5–50; CalculatedRecipe.js lines 59–152; analyticsService.js and analyticsContext.js; frontend analyticsService.js. Current code; analytics introduced 31 August 2026. Consent-gated instrumentation introduced 31 August. Three aggregate CSVs now supplied (E23-E25); earlier no-export inventory is superseded. No raw event/identity/session export, full query settings or complete historical capture coverage supplied. User schema lacks eligibility/demographic/employment fields; lastLogin is latest-state only.</w:t>
      </w:r>
    </w:p>
    <w:p w14:paraId="72EFEA58" w14:textId="77777777" w:rsidR="00AF315D" w:rsidRDefault="00BC6908">
      <w:pPr>
        <w:spacing w:after="100" w:line="240" w:lineRule="auto"/>
        <w:jc w:val="left"/>
      </w:pPr>
      <w:r>
        <w:rPr>
          <w:sz w:val="20"/>
        </w:rPr>
        <w:t>[E13] Evidence availability review. Reviewed Mid Validation archive and relevant ANFORA documentation, training, application sources, logs and Git histories. Review completed 20 October 2026. No independent HR/FTE certification, irrigation-energy series, valid paired historical scenario set, numerical satisfaction results or sufficient demographic cohort located. New internal declarations are recorded separately in E22. Absence of a measurement is not zero.</w:t>
      </w:r>
    </w:p>
    <w:p w14:paraId="78FE26B4" w14:textId="77777777" w:rsidR="00AF315D" w:rsidRDefault="00BC6908">
      <w:pPr>
        <w:spacing w:after="100" w:line="240" w:lineRule="auto"/>
        <w:jc w:val="left"/>
      </w:pPr>
      <w:r>
        <w:rPr>
          <w:sz w:val="20"/>
        </w:rPr>
        <w:t>[E14] ADA ITS session and retained report. ANFORA_ADAITS_Progress_Report_2026.docx/.pdf; event profile and verified database results; Evenor-Tech LinkedIn activity 7513181243312803840. 5 October 2026; retained report reviewed 8–9 October.</w:t>
      </w:r>
    </w:p>
    <w:p w14:paraId="491FC798" w14:textId="77777777" w:rsidR="00AF315D" w:rsidRDefault="00BC6908">
      <w:pPr>
        <w:spacing w:after="100" w:line="240" w:lineRule="auto"/>
        <w:jc w:val="left"/>
      </w:pPr>
      <w:r>
        <w:rPr>
          <w:sz w:val="20"/>
        </w:rPr>
        <w:lastRenderedPageBreak/>
        <w:t>[E15] Original Lasith follow-up transcript and organiser brief. ANFORA_Reunion_Lasith_Transcripcion.txt, full text 12:31:54–12:47:18; key passages 12:38:25–12:43:20. Read in full on 20 October 2026. Exact meeting date is not stated.. Confirms conditional DMS -&gt; TRUE only; no per-code route assignment. Francisco states 48 trainers and promises to check the March–August subset. Lasith asks for real values. The transcript verifies these instructions/statements, not the reported outcomes. SHA-256 40b13d73d2d128a09476ae11fc5c1c765702c5bd8ba879bc15d3707dbe2d176d E22 now attributes the 48-person statement to September/October training; breakdown and attendance remain uncertified and excluded from March-August.</w:t>
      </w:r>
    </w:p>
    <w:p w14:paraId="6338E3F7" w14:textId="77777777" w:rsidR="00AF315D" w:rsidRDefault="00BC6908">
      <w:pPr>
        <w:spacing w:after="100" w:line="240" w:lineRule="auto"/>
        <w:jc w:val="left"/>
      </w:pPr>
      <w:r>
        <w:rPr>
          <w:sz w:val="20"/>
        </w:rPr>
        <w:t>[E16] Generator provenance and disputed account classification. Backend 664e303, config/factories/append/correction, 5 October 2026. The 22 account-ID/exact timestamp matches conflict with the responsible’s student declaration; no automatic account exclusion.</w:t>
      </w:r>
    </w:p>
    <w:p w14:paraId="188E5B17" w14:textId="77777777" w:rsidR="00AF315D" w:rsidRDefault="00BC6908">
      <w:pPr>
        <w:spacing w:after="100" w:line="240" w:lineRule="auto"/>
        <w:jc w:val="left"/>
      </w:pPr>
      <w:r>
        <w:rPr>
          <w:sz w:val="20"/>
        </w:rPr>
        <w:t>[E17] Official contextual WEI sources. EEA: https://www.eea.europa.eu/en/datahub/datahubitem-view/5a980253-9e62-4004-830e-ae7a985237b9 ; Eurostat: https://ec.europa.eu/eurostat/databrowser/view/sdg_06_60/default/table?lang=en. Accessed 20 October 2026; retrieved seasonal dataset refers to 2023.</w:t>
      </w:r>
    </w:p>
    <w:p w14:paraId="28494B76" w14:textId="77777777" w:rsidR="00AF315D" w:rsidRDefault="00BC6908">
      <w:pPr>
        <w:spacing w:after="100" w:line="240" w:lineRule="auto"/>
        <w:jc w:val="left"/>
      </w:pPr>
      <w:r>
        <w:rPr>
          <w:sz w:val="20"/>
        </w:rPr>
        <w:t>[E18] Live read-only availability checks. GET anfora.evenor-tech.com; GET api.anfora.evenor-tech.com/api/water-footprint/stats/global and /crops?limit=1. 20 October 2026.</w:t>
      </w:r>
    </w:p>
    <w:p w14:paraId="1EE0B9FF" w14:textId="77777777" w:rsidR="00AF315D" w:rsidRDefault="00BC6908">
      <w:pPr>
        <w:spacing w:after="100" w:line="240" w:lineRule="auto"/>
        <w:jc w:val="left"/>
      </w:pPr>
      <w:r>
        <w:rPr>
          <w:sz w:val="20"/>
        </w:rPr>
        <w:t>[E19] Earlier needs assessment and presentation preparation. Twenty-four scanned Lucena forms; retained prior report Annex A3; presentation Git history. 2025 forms; presentation changes July–October 2026.</w:t>
      </w:r>
    </w:p>
    <w:p w14:paraId="2E4C3418" w14:textId="77777777" w:rsidR="00AF315D" w:rsidRDefault="00BC6908">
      <w:pPr>
        <w:spacing w:after="100" w:line="240" w:lineRule="auto"/>
        <w:jc w:val="left"/>
      </w:pPr>
      <w:r>
        <w:rPr>
          <w:sz w:val="20"/>
        </w:rPr>
        <w:t>[E20] Read-only account-cohort reconciliation. classification_audit.json (20 October) and registration_reconciliation.json (21 October, 12:55 CEST). Later total: 33 accounts, including 27 responsible-confirmed October 5 student registrations, one unclassified October 21 account and five earlier accounts. Technical conflicts remain unresolved.</w:t>
      </w:r>
    </w:p>
    <w:p w14:paraId="3C7748FF" w14:textId="77777777" w:rsidR="00AF315D" w:rsidRDefault="00BC6908">
      <w:pPr>
        <w:spacing w:after="100" w:line="240" w:lineRule="auto"/>
        <w:jc w:val="left"/>
      </w:pPr>
      <w:r>
        <w:rPr>
          <w:sz w:val="20"/>
        </w:rPr>
        <w:t>[E21] PostHog official recovery and metric documentation. https://posthog.com/docs/api ; https://posthog.com/docs/data/sessions ; https://posthog.com/docs/data/persons ; https://posthog.com/docs/api/events-retention. Accessed 20 October 2026.</w:t>
      </w:r>
    </w:p>
    <w:p w14:paraId="47383507" w14:textId="77777777" w:rsidR="00AF315D" w:rsidRDefault="00BC6908">
      <w:pPr>
        <w:spacing w:after="100" w:line="240" w:lineRule="auto"/>
        <w:jc w:val="left"/>
      </w:pPr>
      <w:r>
        <w:rPr>
          <w:sz w:val="20"/>
        </w:rPr>
        <w:t>[E22] Evenor-Tech responsible-party declarations and final consolidation clarifications. Period declarations and PostHog test provenance communicated on 21 October 2026; no signed certification or independent measurement. Hybrid (AMT + API) proposed and accepted on 2 September 2026; per-code allocation and integration pending. The 5 August institutional presentation is confirmed, agreed dissemination has not materialised and participation classification awaits Lasith. Retained Technical Integration Analysis, T01/T09; original September email thread not independently retrieved. Further responsible confirmation: 27 personal student registrations on 5 October, with technical conflicts retained [E16, E20].</w:t>
      </w:r>
    </w:p>
    <w:p w14:paraId="525737F1" w14:textId="77777777" w:rsidR="00AF315D" w:rsidRDefault="00BC6908">
      <w:pPr>
        <w:spacing w:after="100" w:line="240" w:lineRule="auto"/>
        <w:jc w:val="left"/>
      </w:pPr>
      <w:r>
        <w:rPr>
          <w:sz w:val="20"/>
        </w:rPr>
        <w:t>[E23] PostHog daily Pageview CSV: 1. export-2026-10-21-070956.csv; header and single $pageview / Pageview data row. 184 daily columns, 1 March-31 August 2026; supplied 21 October. Verified sum 1; only 31 August non-zero. Responsible identifies metric as unique PostHog identity. CSV does not encode aggregation type, project, timezone, filters, identity/session IDs or deployment coverage. SHA-256 49f3c8caccd4e465dadf00becbda0a949c7333a8c7b5a76a38df6149fe2938ed</w:t>
      </w:r>
    </w:p>
    <w:p w14:paraId="7709EFB0" w14:textId="77777777" w:rsidR="00AF315D" w:rsidRDefault="00BC6908">
      <w:pPr>
        <w:spacing w:after="100" w:line="240" w:lineRule="auto"/>
        <w:jc w:val="left"/>
      </w:pPr>
      <w:r>
        <w:rPr>
          <w:sz w:val="20"/>
        </w:rPr>
        <w:t>[E24] PostHog daily Pageview CSV: 4. export-2026-10-21-071010.csv; header and single $pageview / Pageview data row. 184 daily columns, 1 March-31 August 2026; supplied 21 October. Verified sum 4; only 31 August non-zero. Responsible identifies metric as unique sessions with Pageview. CSV does not encode aggregation type, project, timezone, filters, identity/session IDs or deployment coverage. SHA-256 155a61d7fc4658ad7459600894a29fa0e1a44a066e5aef90ef4ddee514012724</w:t>
      </w:r>
    </w:p>
    <w:p w14:paraId="533D3CA8" w14:textId="77777777" w:rsidR="00AF315D" w:rsidRDefault="00BC6908">
      <w:pPr>
        <w:spacing w:after="100" w:line="240" w:lineRule="auto"/>
        <w:jc w:val="left"/>
      </w:pPr>
      <w:r>
        <w:rPr>
          <w:sz w:val="20"/>
        </w:rPr>
        <w:t>[E25] PostHog daily Pageview CSV: 39. export-2026-10-21-070736.csv; header and single $pageview / Pageview data row. 184 daily columns, 1 March-31 August 2026; supplied 21 October. Verified sum 39; only 31 August non-zero. Responsible identifies metric as pageviews. CSV does not encode aggregation type, project, timezone, filters, identity/session IDs or deployment coverage. SHA-256 91f74fe18f082a3c39c4f0b28ebd1620dcfa9ef98b92b4480e6bd57288908e06</w:t>
      </w:r>
    </w:p>
    <w:sectPr w:rsidR="00AF315D" w:rsidSect="002038FF">
      <w:footerReference w:type="default" r:id="rId22"/>
      <w:headerReference w:type="first" r:id="rId23"/>
      <w:footerReference w:type="first" r:id="rId24"/>
      <w:pgSz w:w="11906" w:h="16838"/>
      <w:pgMar w:top="1440" w:right="1797" w:bottom="1440" w:left="1797" w:header="720" w:footer="720" w:gutter="0"/>
      <w:pgBorders w:offsetFrom="page">
        <w:bottom w:val="single" w:sz="8"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FE575" w14:textId="77777777" w:rsidR="00263020" w:rsidRPr="008773A4" w:rsidRDefault="00263020">
      <w:pPr>
        <w:spacing w:after="0" w:line="240" w:lineRule="auto"/>
      </w:pPr>
      <w:r w:rsidRPr="008773A4">
        <w:separator/>
      </w:r>
    </w:p>
  </w:endnote>
  <w:endnote w:type="continuationSeparator" w:id="0">
    <w:p w14:paraId="2719EF42" w14:textId="77777777" w:rsidR="00263020" w:rsidRPr="008773A4" w:rsidRDefault="00263020">
      <w:pPr>
        <w:spacing w:after="0" w:line="240" w:lineRule="auto"/>
      </w:pPr>
      <w:r w:rsidRPr="008773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3916049"/>
      <w:docPartObj>
        <w:docPartGallery w:val="Page Numbers (Bottom of Page)"/>
        <w:docPartUnique/>
      </w:docPartObj>
    </w:sdtPr>
    <w:sdtEndPr/>
    <w:sdtContent>
      <w:p w14:paraId="198C78CF" w14:textId="77777777" w:rsidR="00D82337" w:rsidRDefault="00001B40">
        <w:pPr>
          <w:pStyle w:val="Piedepgina"/>
          <w:jc w:val="center"/>
        </w:pPr>
        <w:r>
          <w:t>i</w:t>
        </w:r>
      </w:p>
    </w:sdtContent>
  </w:sdt>
  <w:p w14:paraId="3D035DCA" w14:textId="77777777" w:rsidR="0069239F" w:rsidRPr="008773A4" w:rsidRDefault="0069239F" w:rsidP="441EBDB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61CE887F" w14:paraId="1B379D19" w14:textId="77777777" w:rsidTr="61CE887F">
      <w:trPr>
        <w:trHeight w:val="300"/>
      </w:trPr>
      <w:tc>
        <w:tcPr>
          <w:tcW w:w="2770" w:type="dxa"/>
        </w:tcPr>
        <w:p w14:paraId="34B79A24" w14:textId="77777777" w:rsidR="61CE887F" w:rsidRDefault="61CE887F" w:rsidP="61CE887F">
          <w:pPr>
            <w:pStyle w:val="Encabezado"/>
            <w:ind w:left="-115"/>
            <w:jc w:val="left"/>
          </w:pPr>
        </w:p>
      </w:tc>
      <w:tc>
        <w:tcPr>
          <w:tcW w:w="2770" w:type="dxa"/>
        </w:tcPr>
        <w:p w14:paraId="02A1374A" w14:textId="77777777" w:rsidR="61CE887F" w:rsidRDefault="61CE887F" w:rsidP="61CE887F">
          <w:pPr>
            <w:pStyle w:val="Encabezado"/>
            <w:jc w:val="center"/>
          </w:pPr>
        </w:p>
      </w:tc>
      <w:tc>
        <w:tcPr>
          <w:tcW w:w="2770" w:type="dxa"/>
        </w:tcPr>
        <w:p w14:paraId="7DD2CE0C" w14:textId="77777777" w:rsidR="61CE887F" w:rsidRDefault="61CE887F" w:rsidP="61CE887F">
          <w:pPr>
            <w:pStyle w:val="Encabezado"/>
            <w:ind w:right="-115"/>
            <w:jc w:val="right"/>
          </w:pPr>
        </w:p>
      </w:tc>
    </w:tr>
  </w:tbl>
  <w:p w14:paraId="3F928081" w14:textId="77777777" w:rsidR="61CE887F" w:rsidRDefault="61CE887F" w:rsidP="61CE887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9886955"/>
      <w:docPartObj>
        <w:docPartGallery w:val="Page Numbers (Bottom of Page)"/>
        <w:docPartUnique/>
      </w:docPartObj>
    </w:sdtPr>
    <w:sdtEndPr/>
    <w:sdtContent>
      <w:p w14:paraId="4D7C1DAB" w14:textId="77777777" w:rsidR="00F511E0" w:rsidRDefault="00F511E0">
        <w:pPr>
          <w:pStyle w:val="Piedepgina"/>
          <w:jc w:val="center"/>
        </w:pPr>
        <w:r>
          <w:t>i</w:t>
        </w:r>
      </w:p>
    </w:sdtContent>
  </w:sdt>
  <w:p w14:paraId="2D8B061C" w14:textId="77777777" w:rsidR="00F511E0" w:rsidRPr="008773A4" w:rsidRDefault="00F511E0" w:rsidP="441EBDB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00F511E0" w14:paraId="0BA1D19A" w14:textId="77777777" w:rsidTr="61CE887F">
      <w:trPr>
        <w:trHeight w:val="300"/>
      </w:trPr>
      <w:tc>
        <w:tcPr>
          <w:tcW w:w="2770" w:type="dxa"/>
        </w:tcPr>
        <w:p w14:paraId="2DBDC484" w14:textId="77777777" w:rsidR="00F511E0" w:rsidRDefault="00F511E0" w:rsidP="61CE887F">
          <w:pPr>
            <w:pStyle w:val="Encabezado"/>
            <w:ind w:left="-115"/>
            <w:jc w:val="left"/>
          </w:pPr>
        </w:p>
      </w:tc>
      <w:tc>
        <w:tcPr>
          <w:tcW w:w="2770" w:type="dxa"/>
        </w:tcPr>
        <w:p w14:paraId="6428CCA6" w14:textId="77777777" w:rsidR="00F511E0" w:rsidRDefault="00F511E0" w:rsidP="61CE887F">
          <w:pPr>
            <w:pStyle w:val="Encabezado"/>
            <w:jc w:val="center"/>
          </w:pPr>
        </w:p>
      </w:tc>
      <w:tc>
        <w:tcPr>
          <w:tcW w:w="2770" w:type="dxa"/>
        </w:tcPr>
        <w:p w14:paraId="0C3FEE33" w14:textId="77777777" w:rsidR="00F511E0" w:rsidRDefault="00F511E0" w:rsidP="61CE887F">
          <w:pPr>
            <w:pStyle w:val="Encabezado"/>
            <w:ind w:right="-115"/>
            <w:jc w:val="right"/>
          </w:pPr>
        </w:p>
      </w:tc>
    </w:tr>
  </w:tbl>
  <w:p w14:paraId="59F2C7D4" w14:textId="77777777" w:rsidR="00F511E0" w:rsidRDefault="00F511E0" w:rsidP="61CE887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6531880"/>
      <w:docPartObj>
        <w:docPartGallery w:val="Page Numbers (Bottom of Page)"/>
        <w:docPartUnique/>
      </w:docPartObj>
    </w:sdtPr>
    <w:sdtEndPr/>
    <w:sdtContent>
      <w:p w14:paraId="6E69135A" w14:textId="77777777" w:rsidR="0069239F" w:rsidRPr="008773A4" w:rsidRDefault="0069239F" w:rsidP="3EDDA7DD">
        <w:pPr>
          <w:pStyle w:val="Piedepgina"/>
          <w:jc w:val="center"/>
        </w:pPr>
        <w:r>
          <w:fldChar w:fldCharType="begin"/>
        </w:r>
        <w:r>
          <w:instrText>PAGE   \* MERGEFORMAT</w:instrText>
        </w:r>
        <w:r>
          <w:fldChar w:fldCharType="separate"/>
        </w:r>
        <w:r w:rsidR="3EDDA7DD">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61CE887F" w14:paraId="1875B438" w14:textId="77777777" w:rsidTr="61CE887F">
      <w:trPr>
        <w:trHeight w:val="300"/>
      </w:trPr>
      <w:tc>
        <w:tcPr>
          <w:tcW w:w="2770" w:type="dxa"/>
        </w:tcPr>
        <w:p w14:paraId="1A999BE2" w14:textId="77777777" w:rsidR="61CE887F" w:rsidRDefault="61CE887F" w:rsidP="61CE887F">
          <w:pPr>
            <w:pStyle w:val="Encabezado"/>
            <w:ind w:left="-115"/>
            <w:jc w:val="left"/>
          </w:pPr>
        </w:p>
      </w:tc>
      <w:tc>
        <w:tcPr>
          <w:tcW w:w="2770" w:type="dxa"/>
        </w:tcPr>
        <w:p w14:paraId="11FDDD0F" w14:textId="77777777" w:rsidR="61CE887F" w:rsidRDefault="61CE887F" w:rsidP="61CE887F">
          <w:pPr>
            <w:pStyle w:val="Encabezado"/>
            <w:jc w:val="center"/>
          </w:pPr>
        </w:p>
      </w:tc>
      <w:tc>
        <w:tcPr>
          <w:tcW w:w="2770" w:type="dxa"/>
        </w:tcPr>
        <w:p w14:paraId="53164584" w14:textId="77777777" w:rsidR="61CE887F" w:rsidRDefault="61CE887F" w:rsidP="61CE887F">
          <w:pPr>
            <w:pStyle w:val="Encabezado"/>
            <w:ind w:right="-115"/>
            <w:jc w:val="right"/>
          </w:pPr>
        </w:p>
      </w:tc>
    </w:tr>
  </w:tbl>
  <w:p w14:paraId="768F84F5" w14:textId="77777777" w:rsidR="61CE887F" w:rsidRDefault="61CE887F" w:rsidP="61CE88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BC3D8" w14:textId="77777777" w:rsidR="00263020" w:rsidRPr="008773A4" w:rsidRDefault="00263020">
      <w:pPr>
        <w:spacing w:after="0" w:line="240" w:lineRule="auto"/>
      </w:pPr>
      <w:r w:rsidRPr="008773A4">
        <w:separator/>
      </w:r>
    </w:p>
  </w:footnote>
  <w:footnote w:type="continuationSeparator" w:id="0">
    <w:p w14:paraId="743DAC70" w14:textId="77777777" w:rsidR="00263020" w:rsidRPr="008773A4" w:rsidRDefault="00263020">
      <w:pPr>
        <w:spacing w:after="0" w:line="240" w:lineRule="auto"/>
      </w:pPr>
      <w:r w:rsidRPr="008773A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E45E7" w14:textId="77777777" w:rsidR="002038FF" w:rsidRDefault="002038FF" w:rsidP="002038FF">
    <w:pPr>
      <w:spacing w:line="264" w:lineRule="auto"/>
    </w:pPr>
    <w:r>
      <w:rPr>
        <w:noProof/>
        <w:color w:val="000000"/>
      </w:rPr>
      <mc:AlternateContent>
        <mc:Choice Requires="wps">
          <w:drawing>
            <wp:anchor distT="0" distB="0" distL="114300" distR="114300" simplePos="0" relativeHeight="251659264" behindDoc="0" locked="0" layoutInCell="1" allowOverlap="1" wp14:anchorId="382AEF84" wp14:editId="62336608">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xmlns:w16sdtfl="http://schemas.microsoft.com/office/word/2024/wordml/sdtformatlock" xmlns:w16du="http://schemas.microsoft.com/office/word/2023/wordml/word16du" xmlns:oel="http://schemas.microsoft.com/office/2019/extlst">
          <w:pict w14:anchorId="6468F0F0">
            <v:rect id="Rectangle 233"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37373 [1614]" strokeweight="1.25pt" w14:anchorId="37173E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w10:wrap anchorx="page" anchory="page"/>
            </v:rect>
          </w:pict>
        </mc:Fallback>
      </mc:AlternateContent>
    </w:r>
    <w:r>
      <w:rPr>
        <w:color w:val="156082" w:themeColor="accent1"/>
        <w:sz w:val="20"/>
        <w:szCs w:val="20"/>
      </w:rPr>
      <w:tab/>
    </w:r>
    <w:r>
      <w:rPr>
        <w:color w:val="156082" w:themeColor="accent1"/>
        <w:sz w:val="20"/>
        <w:szCs w:val="20"/>
      </w:rPr>
      <w:tab/>
    </w:r>
    <w:r>
      <w:rPr>
        <w:color w:val="156082" w:themeColor="accent1"/>
        <w:sz w:val="20"/>
        <w:szCs w:val="20"/>
      </w:rPr>
      <w:tab/>
    </w:r>
    <w:r>
      <w:rPr>
        <w:color w:val="156082" w:themeColor="accent1"/>
        <w:sz w:val="20"/>
        <w:szCs w:val="20"/>
      </w:rPr>
      <w:tab/>
    </w:r>
    <w:r>
      <w:rPr>
        <w:color w:val="156082" w:themeColor="accent1"/>
        <w:sz w:val="20"/>
        <w:szCs w:val="20"/>
      </w:rPr>
      <w:tab/>
    </w:r>
    <w:r>
      <w:rPr>
        <w:color w:val="156082" w:themeColor="accent1"/>
        <w:sz w:val="2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61CE887F" w14:paraId="092A6DF2" w14:textId="77777777" w:rsidTr="61CE887F">
      <w:trPr>
        <w:trHeight w:val="300"/>
      </w:trPr>
      <w:tc>
        <w:tcPr>
          <w:tcW w:w="2770" w:type="dxa"/>
        </w:tcPr>
        <w:p w14:paraId="24340093" w14:textId="77777777" w:rsidR="61CE887F" w:rsidRDefault="61CE887F" w:rsidP="61CE887F">
          <w:pPr>
            <w:pStyle w:val="Encabezado"/>
            <w:ind w:left="-115"/>
            <w:jc w:val="left"/>
          </w:pPr>
        </w:p>
      </w:tc>
      <w:tc>
        <w:tcPr>
          <w:tcW w:w="2770" w:type="dxa"/>
        </w:tcPr>
        <w:p w14:paraId="7A06CA76" w14:textId="77777777" w:rsidR="61CE887F" w:rsidRDefault="61CE887F" w:rsidP="61CE887F">
          <w:pPr>
            <w:pStyle w:val="Encabezado"/>
            <w:jc w:val="center"/>
          </w:pPr>
        </w:p>
      </w:tc>
      <w:tc>
        <w:tcPr>
          <w:tcW w:w="2770" w:type="dxa"/>
        </w:tcPr>
        <w:p w14:paraId="71920082" w14:textId="77777777" w:rsidR="61CE887F" w:rsidRDefault="61CE887F" w:rsidP="61CE887F">
          <w:pPr>
            <w:pStyle w:val="Encabezado"/>
            <w:ind w:right="-115"/>
            <w:jc w:val="right"/>
          </w:pPr>
        </w:p>
      </w:tc>
    </w:tr>
  </w:tbl>
  <w:p w14:paraId="3BC893FD" w14:textId="77777777" w:rsidR="61CE887F" w:rsidRDefault="61CE887F" w:rsidP="61CE887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86FEF" w14:textId="77777777" w:rsidR="00F511E0" w:rsidRDefault="00F511E0" w:rsidP="3EDDA7DD">
    <w:pPr>
      <w:spacing w:line="264" w:lineRule="auto"/>
    </w:pPr>
    <w:r>
      <w:rPr>
        <w:noProof/>
        <w:color w:val="000000"/>
      </w:rPr>
      <mc:AlternateContent>
        <mc:Choice Requires="wps">
          <w:drawing>
            <wp:anchor distT="0" distB="0" distL="114300" distR="114300" simplePos="0" relativeHeight="251661312" behindDoc="0" locked="0" layoutInCell="1" allowOverlap="1" wp14:anchorId="68DE1AE5" wp14:editId="2BBAA2CD">
              <wp:simplePos x="0" y="0"/>
              <wp:positionH relativeFrom="margin">
                <wp:align>center</wp:align>
              </wp:positionH>
              <wp:positionV relativeFrom="paragraph">
                <wp:posOffset>357505</wp:posOffset>
              </wp:positionV>
              <wp:extent cx="5755217" cy="0"/>
              <wp:effectExtent l="0" t="19050" r="36195" b="19050"/>
              <wp:wrapNone/>
              <wp:docPr id="1078119346" name="Straight Connector 2"/>
              <wp:cNvGraphicFramePr/>
              <a:graphic xmlns:a="http://schemas.openxmlformats.org/drawingml/2006/main">
                <a:graphicData uri="http://schemas.microsoft.com/office/word/2010/wordprocessingShape">
                  <wps:wsp>
                    <wps:cNvCnPr/>
                    <wps:spPr>
                      <a:xfrm>
                        <a:off x="0" y="0"/>
                        <a:ext cx="5755217" cy="0"/>
                      </a:xfrm>
                      <a:prstGeom prst="line">
                        <a:avLst/>
                      </a:prstGeom>
                      <a:ln w="38100">
                        <a:solidFill>
                          <a:srgbClr val="17A99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1E4DF4" id="Straight Connector 2"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15pt" to="453.1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" strokecolor="#17a998" strokeweight="3pt">
              <v:stroke joinstyle="miter"/>
              <w10:wrap anchorx="margin"/>
            </v:line>
          </w:pict>
        </mc:Fallback>
      </mc:AlternateContent>
    </w:r>
    <w:r w:rsidRPr="3EDDA7DD">
      <w:rPr>
        <w:color w:val="156082" w:themeColor="accent1"/>
        <w:sz w:val="20"/>
        <w:szCs w:val="20"/>
      </w:rPr>
      <w:t xml:space="preserve">Indicators Review </w:t>
    </w:r>
    <w:r>
      <w:tab/>
    </w:r>
    <w:r>
      <w:tab/>
    </w:r>
    <w:r>
      <w:tab/>
    </w:r>
    <w:r>
      <w:tab/>
    </w:r>
    <w:r>
      <w:tab/>
    </w:r>
    <w:r>
      <w:tab/>
    </w:r>
    <w:r>
      <w:tab/>
    </w:r>
    <w:r w:rsidR="005C47DC">
      <w:rPr>
        <w:color w:val="155F81"/>
        <w:sz w:val="20"/>
        <w:szCs w:val="20"/>
      </w:rPr>
      <w:t>ANFORA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00F511E0" w14:paraId="773554D0" w14:textId="77777777" w:rsidTr="61CE887F">
      <w:trPr>
        <w:trHeight w:val="300"/>
      </w:trPr>
      <w:tc>
        <w:tcPr>
          <w:tcW w:w="2770" w:type="dxa"/>
        </w:tcPr>
        <w:p w14:paraId="5440DD6E" w14:textId="77777777" w:rsidR="00F511E0" w:rsidRDefault="00F511E0" w:rsidP="61CE887F">
          <w:pPr>
            <w:pStyle w:val="Encabezado"/>
            <w:ind w:left="-115"/>
            <w:jc w:val="left"/>
          </w:pPr>
        </w:p>
      </w:tc>
      <w:tc>
        <w:tcPr>
          <w:tcW w:w="2770" w:type="dxa"/>
        </w:tcPr>
        <w:p w14:paraId="577BA2EB" w14:textId="77777777" w:rsidR="00F511E0" w:rsidRDefault="00F511E0" w:rsidP="61CE887F">
          <w:pPr>
            <w:pStyle w:val="Encabezado"/>
            <w:jc w:val="center"/>
          </w:pPr>
        </w:p>
      </w:tc>
      <w:tc>
        <w:tcPr>
          <w:tcW w:w="2770" w:type="dxa"/>
        </w:tcPr>
        <w:p w14:paraId="3D260908" w14:textId="77777777" w:rsidR="00F511E0" w:rsidRDefault="00F511E0" w:rsidP="61CE887F">
          <w:pPr>
            <w:pStyle w:val="Encabezado"/>
            <w:ind w:right="-115"/>
            <w:jc w:val="right"/>
          </w:pPr>
        </w:p>
      </w:tc>
    </w:tr>
  </w:tbl>
  <w:p w14:paraId="5403B8C1" w14:textId="77777777" w:rsidR="00F511E0" w:rsidRDefault="00F511E0" w:rsidP="61CE887F">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61CE887F" w14:paraId="16AE918E" w14:textId="77777777" w:rsidTr="61CE887F">
      <w:trPr>
        <w:trHeight w:val="300"/>
      </w:trPr>
      <w:tc>
        <w:tcPr>
          <w:tcW w:w="2770" w:type="dxa"/>
        </w:tcPr>
        <w:p w14:paraId="4E4AF384" w14:textId="77777777" w:rsidR="61CE887F" w:rsidRDefault="61CE887F" w:rsidP="61CE887F">
          <w:pPr>
            <w:pStyle w:val="Encabezado"/>
            <w:ind w:left="-115"/>
            <w:jc w:val="left"/>
          </w:pPr>
        </w:p>
      </w:tc>
      <w:tc>
        <w:tcPr>
          <w:tcW w:w="2770" w:type="dxa"/>
        </w:tcPr>
        <w:p w14:paraId="2C6CDDA1" w14:textId="77777777" w:rsidR="61CE887F" w:rsidRDefault="61CE887F" w:rsidP="61CE887F">
          <w:pPr>
            <w:pStyle w:val="Encabezado"/>
            <w:jc w:val="center"/>
          </w:pPr>
        </w:p>
      </w:tc>
      <w:tc>
        <w:tcPr>
          <w:tcW w:w="2770" w:type="dxa"/>
        </w:tcPr>
        <w:p w14:paraId="677F38AF" w14:textId="77777777" w:rsidR="61CE887F" w:rsidRDefault="61CE887F" w:rsidP="61CE887F">
          <w:pPr>
            <w:pStyle w:val="Encabezado"/>
            <w:ind w:right="-115"/>
            <w:jc w:val="right"/>
          </w:pPr>
        </w:p>
      </w:tc>
    </w:tr>
  </w:tbl>
  <w:p w14:paraId="4212B15A" w14:textId="77777777" w:rsidR="61CE887F" w:rsidRDefault="61CE887F" w:rsidP="61CE8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A7678A"/>
    <w:multiLevelType w:val="hybridMultilevel"/>
    <w:tmpl w:val="0CE882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2805FE"/>
    <w:multiLevelType w:val="hybridMultilevel"/>
    <w:tmpl w:val="037281A8"/>
    <w:lvl w:ilvl="0" w:tplc="8CAC348C">
      <w:start w:val="1"/>
      <w:numFmt w:val="bullet"/>
      <w:lvlText w:val=""/>
      <w:lvlJc w:val="left"/>
      <w:pPr>
        <w:ind w:left="360" w:hanging="360"/>
      </w:pPr>
      <w:rPr>
        <w:rFonts w:ascii="Symbol" w:hAnsi="Symbol" w:hint="default"/>
      </w:rPr>
    </w:lvl>
    <w:lvl w:ilvl="1" w:tplc="2C94A430">
      <w:start w:val="1"/>
      <w:numFmt w:val="bullet"/>
      <w:lvlText w:val="o"/>
      <w:lvlJc w:val="left"/>
      <w:pPr>
        <w:ind w:left="1080" w:hanging="360"/>
      </w:pPr>
      <w:rPr>
        <w:rFonts w:ascii="Courier New" w:hAnsi="Courier New" w:hint="default"/>
      </w:rPr>
    </w:lvl>
    <w:lvl w:ilvl="2" w:tplc="6FEA06BA">
      <w:start w:val="1"/>
      <w:numFmt w:val="bullet"/>
      <w:lvlText w:val=""/>
      <w:lvlJc w:val="left"/>
      <w:pPr>
        <w:ind w:left="1800" w:hanging="360"/>
      </w:pPr>
      <w:rPr>
        <w:rFonts w:ascii="Wingdings" w:hAnsi="Wingdings" w:hint="default"/>
      </w:rPr>
    </w:lvl>
    <w:lvl w:ilvl="3" w:tplc="7318E512">
      <w:start w:val="1"/>
      <w:numFmt w:val="bullet"/>
      <w:lvlText w:val=""/>
      <w:lvlJc w:val="left"/>
      <w:pPr>
        <w:ind w:left="2520" w:hanging="360"/>
      </w:pPr>
      <w:rPr>
        <w:rFonts w:ascii="Symbol" w:hAnsi="Symbol" w:hint="default"/>
      </w:rPr>
    </w:lvl>
    <w:lvl w:ilvl="4" w:tplc="9940AEBC">
      <w:start w:val="1"/>
      <w:numFmt w:val="bullet"/>
      <w:lvlText w:val="o"/>
      <w:lvlJc w:val="left"/>
      <w:pPr>
        <w:ind w:left="3240" w:hanging="360"/>
      </w:pPr>
      <w:rPr>
        <w:rFonts w:ascii="Courier New" w:hAnsi="Courier New" w:hint="default"/>
      </w:rPr>
    </w:lvl>
    <w:lvl w:ilvl="5" w:tplc="DA86F526">
      <w:start w:val="1"/>
      <w:numFmt w:val="bullet"/>
      <w:lvlText w:val=""/>
      <w:lvlJc w:val="left"/>
      <w:pPr>
        <w:ind w:left="3960" w:hanging="360"/>
      </w:pPr>
      <w:rPr>
        <w:rFonts w:ascii="Wingdings" w:hAnsi="Wingdings" w:hint="default"/>
      </w:rPr>
    </w:lvl>
    <w:lvl w:ilvl="6" w:tplc="4568F972">
      <w:start w:val="1"/>
      <w:numFmt w:val="bullet"/>
      <w:lvlText w:val=""/>
      <w:lvlJc w:val="left"/>
      <w:pPr>
        <w:ind w:left="4680" w:hanging="360"/>
      </w:pPr>
      <w:rPr>
        <w:rFonts w:ascii="Symbol" w:hAnsi="Symbol" w:hint="default"/>
      </w:rPr>
    </w:lvl>
    <w:lvl w:ilvl="7" w:tplc="5508AC6E">
      <w:start w:val="1"/>
      <w:numFmt w:val="bullet"/>
      <w:lvlText w:val="o"/>
      <w:lvlJc w:val="left"/>
      <w:pPr>
        <w:ind w:left="5400" w:hanging="360"/>
      </w:pPr>
      <w:rPr>
        <w:rFonts w:ascii="Courier New" w:hAnsi="Courier New" w:hint="default"/>
      </w:rPr>
    </w:lvl>
    <w:lvl w:ilvl="8" w:tplc="82AA197A">
      <w:start w:val="1"/>
      <w:numFmt w:val="bullet"/>
      <w:lvlText w:val=""/>
      <w:lvlJc w:val="left"/>
      <w:pPr>
        <w:ind w:left="6120" w:hanging="360"/>
      </w:pPr>
      <w:rPr>
        <w:rFonts w:ascii="Wingdings" w:hAnsi="Wingdings" w:hint="default"/>
      </w:rPr>
    </w:lvl>
  </w:abstractNum>
  <w:abstractNum w:abstractNumId="2" w15:restartNumberingAfterBreak="0">
    <w:nsid w:val="78C54E15"/>
    <w:multiLevelType w:val="hybridMultilevel"/>
    <w:tmpl w:val="FFFFFFFF"/>
    <w:lvl w:ilvl="0" w:tplc="490815B0">
      <w:start w:val="1"/>
      <w:numFmt w:val="bullet"/>
      <w:lvlText w:val=""/>
      <w:lvlJc w:val="left"/>
      <w:pPr>
        <w:ind w:left="720" w:hanging="360"/>
      </w:pPr>
      <w:rPr>
        <w:rFonts w:ascii="Symbol" w:hAnsi="Symbol" w:hint="default"/>
      </w:rPr>
    </w:lvl>
    <w:lvl w:ilvl="1" w:tplc="808CE136">
      <w:start w:val="1"/>
      <w:numFmt w:val="bullet"/>
      <w:lvlText w:val="o"/>
      <w:lvlJc w:val="left"/>
      <w:pPr>
        <w:ind w:left="1440" w:hanging="360"/>
      </w:pPr>
      <w:rPr>
        <w:rFonts w:ascii="Courier New" w:hAnsi="Courier New" w:hint="default"/>
      </w:rPr>
    </w:lvl>
    <w:lvl w:ilvl="2" w:tplc="6B9217AA">
      <w:start w:val="1"/>
      <w:numFmt w:val="bullet"/>
      <w:lvlText w:val=""/>
      <w:lvlJc w:val="left"/>
      <w:pPr>
        <w:ind w:left="2160" w:hanging="360"/>
      </w:pPr>
      <w:rPr>
        <w:rFonts w:ascii="Wingdings" w:hAnsi="Wingdings" w:hint="default"/>
      </w:rPr>
    </w:lvl>
    <w:lvl w:ilvl="3" w:tplc="5CEC4E26">
      <w:start w:val="1"/>
      <w:numFmt w:val="bullet"/>
      <w:lvlText w:val=""/>
      <w:lvlJc w:val="left"/>
      <w:pPr>
        <w:ind w:left="2880" w:hanging="360"/>
      </w:pPr>
      <w:rPr>
        <w:rFonts w:ascii="Symbol" w:hAnsi="Symbol" w:hint="default"/>
      </w:rPr>
    </w:lvl>
    <w:lvl w:ilvl="4" w:tplc="93EC71CE">
      <w:start w:val="1"/>
      <w:numFmt w:val="bullet"/>
      <w:lvlText w:val="o"/>
      <w:lvlJc w:val="left"/>
      <w:pPr>
        <w:ind w:left="3600" w:hanging="360"/>
      </w:pPr>
      <w:rPr>
        <w:rFonts w:ascii="Courier New" w:hAnsi="Courier New" w:hint="default"/>
      </w:rPr>
    </w:lvl>
    <w:lvl w:ilvl="5" w:tplc="5034668E">
      <w:start w:val="1"/>
      <w:numFmt w:val="bullet"/>
      <w:lvlText w:val=""/>
      <w:lvlJc w:val="left"/>
      <w:pPr>
        <w:ind w:left="4320" w:hanging="360"/>
      </w:pPr>
      <w:rPr>
        <w:rFonts w:ascii="Wingdings" w:hAnsi="Wingdings" w:hint="default"/>
      </w:rPr>
    </w:lvl>
    <w:lvl w:ilvl="6" w:tplc="D6006E1C">
      <w:start w:val="1"/>
      <w:numFmt w:val="bullet"/>
      <w:lvlText w:val=""/>
      <w:lvlJc w:val="left"/>
      <w:pPr>
        <w:ind w:left="5040" w:hanging="360"/>
      </w:pPr>
      <w:rPr>
        <w:rFonts w:ascii="Symbol" w:hAnsi="Symbol" w:hint="default"/>
      </w:rPr>
    </w:lvl>
    <w:lvl w:ilvl="7" w:tplc="8A7080BC">
      <w:start w:val="1"/>
      <w:numFmt w:val="bullet"/>
      <w:lvlText w:val="o"/>
      <w:lvlJc w:val="left"/>
      <w:pPr>
        <w:ind w:left="5760" w:hanging="360"/>
      </w:pPr>
      <w:rPr>
        <w:rFonts w:ascii="Courier New" w:hAnsi="Courier New" w:hint="default"/>
      </w:rPr>
    </w:lvl>
    <w:lvl w:ilvl="8" w:tplc="4E06B4E2">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184EF1"/>
    <w:rsid w:val="00001B40"/>
    <w:rsid w:val="00004229"/>
    <w:rsid w:val="000467A4"/>
    <w:rsid w:val="000878FD"/>
    <w:rsid w:val="000D0C96"/>
    <w:rsid w:val="000D7FC1"/>
    <w:rsid w:val="001364E4"/>
    <w:rsid w:val="002038FF"/>
    <w:rsid w:val="00254B1B"/>
    <w:rsid w:val="00263020"/>
    <w:rsid w:val="002B32FF"/>
    <w:rsid w:val="002E7286"/>
    <w:rsid w:val="00344CC9"/>
    <w:rsid w:val="003967CF"/>
    <w:rsid w:val="003F681E"/>
    <w:rsid w:val="00447B7B"/>
    <w:rsid w:val="00546101"/>
    <w:rsid w:val="005C47DC"/>
    <w:rsid w:val="005F64E7"/>
    <w:rsid w:val="0061542B"/>
    <w:rsid w:val="006540DE"/>
    <w:rsid w:val="00681947"/>
    <w:rsid w:val="0069239F"/>
    <w:rsid w:val="006C3B64"/>
    <w:rsid w:val="00751B6C"/>
    <w:rsid w:val="007917EB"/>
    <w:rsid w:val="007CE656"/>
    <w:rsid w:val="00811061"/>
    <w:rsid w:val="0085350B"/>
    <w:rsid w:val="008773A4"/>
    <w:rsid w:val="008965D8"/>
    <w:rsid w:val="008E426D"/>
    <w:rsid w:val="008E5D44"/>
    <w:rsid w:val="008F1154"/>
    <w:rsid w:val="00924C1B"/>
    <w:rsid w:val="00974B6F"/>
    <w:rsid w:val="00A2384F"/>
    <w:rsid w:val="00A662B1"/>
    <w:rsid w:val="00A6638C"/>
    <w:rsid w:val="00A82874"/>
    <w:rsid w:val="00A94092"/>
    <w:rsid w:val="00AC2418"/>
    <w:rsid w:val="00AF315D"/>
    <w:rsid w:val="00AF7256"/>
    <w:rsid w:val="00BC6908"/>
    <w:rsid w:val="00C633AF"/>
    <w:rsid w:val="00C65995"/>
    <w:rsid w:val="00CB017C"/>
    <w:rsid w:val="00CC360A"/>
    <w:rsid w:val="00D82337"/>
    <w:rsid w:val="00DB4CE1"/>
    <w:rsid w:val="00E03F66"/>
    <w:rsid w:val="00E9350C"/>
    <w:rsid w:val="00F47DD5"/>
    <w:rsid w:val="00F511E0"/>
    <w:rsid w:val="00F66955"/>
    <w:rsid w:val="00F964EC"/>
    <w:rsid w:val="00FF42B6"/>
    <w:rsid w:val="01050A32"/>
    <w:rsid w:val="012B8BDC"/>
    <w:rsid w:val="0176C4BC"/>
    <w:rsid w:val="017FA911"/>
    <w:rsid w:val="01A9A11A"/>
    <w:rsid w:val="01DE3800"/>
    <w:rsid w:val="01E677DE"/>
    <w:rsid w:val="0221A050"/>
    <w:rsid w:val="025ED22F"/>
    <w:rsid w:val="027DE5C3"/>
    <w:rsid w:val="02A036F6"/>
    <w:rsid w:val="02DB94A0"/>
    <w:rsid w:val="031AAFC9"/>
    <w:rsid w:val="03986C7E"/>
    <w:rsid w:val="04960DAE"/>
    <w:rsid w:val="04C037BE"/>
    <w:rsid w:val="0503B701"/>
    <w:rsid w:val="054A68EF"/>
    <w:rsid w:val="05A1D9C7"/>
    <w:rsid w:val="05B849AD"/>
    <w:rsid w:val="05CFD494"/>
    <w:rsid w:val="05D43B8C"/>
    <w:rsid w:val="0683EB4B"/>
    <w:rsid w:val="06896EAE"/>
    <w:rsid w:val="06A4F30E"/>
    <w:rsid w:val="071B7FCA"/>
    <w:rsid w:val="07836C58"/>
    <w:rsid w:val="07C30A7F"/>
    <w:rsid w:val="07CB2A66"/>
    <w:rsid w:val="07DC9250"/>
    <w:rsid w:val="080935FE"/>
    <w:rsid w:val="082633CA"/>
    <w:rsid w:val="083AE7EE"/>
    <w:rsid w:val="085056BD"/>
    <w:rsid w:val="085BF15D"/>
    <w:rsid w:val="08AC5DA2"/>
    <w:rsid w:val="08B324AC"/>
    <w:rsid w:val="08F46501"/>
    <w:rsid w:val="09508F64"/>
    <w:rsid w:val="0997E930"/>
    <w:rsid w:val="09DF4816"/>
    <w:rsid w:val="0A98C9D1"/>
    <w:rsid w:val="0AD2E259"/>
    <w:rsid w:val="0AE34FFB"/>
    <w:rsid w:val="0B0FF38E"/>
    <w:rsid w:val="0B237FCC"/>
    <w:rsid w:val="0B41557C"/>
    <w:rsid w:val="0B64F0CE"/>
    <w:rsid w:val="0C0F1C00"/>
    <w:rsid w:val="0C20A01E"/>
    <w:rsid w:val="0C51805E"/>
    <w:rsid w:val="0C9F8831"/>
    <w:rsid w:val="0D065CB5"/>
    <w:rsid w:val="0D3FD67A"/>
    <w:rsid w:val="0D7D9D98"/>
    <w:rsid w:val="0DCDE615"/>
    <w:rsid w:val="0EA367E9"/>
    <w:rsid w:val="0EB8EC77"/>
    <w:rsid w:val="0F249560"/>
    <w:rsid w:val="0F6A89ED"/>
    <w:rsid w:val="0FC9EAAB"/>
    <w:rsid w:val="0FE75B63"/>
    <w:rsid w:val="104C1103"/>
    <w:rsid w:val="1074CFF4"/>
    <w:rsid w:val="10BD7FA9"/>
    <w:rsid w:val="10BDC791"/>
    <w:rsid w:val="10FD1C30"/>
    <w:rsid w:val="11496E9A"/>
    <w:rsid w:val="115EBAD4"/>
    <w:rsid w:val="11A4EB78"/>
    <w:rsid w:val="12B3B242"/>
    <w:rsid w:val="12F0F7B5"/>
    <w:rsid w:val="13454CCE"/>
    <w:rsid w:val="13B91208"/>
    <w:rsid w:val="143793F5"/>
    <w:rsid w:val="146C974B"/>
    <w:rsid w:val="14852349"/>
    <w:rsid w:val="1490D94E"/>
    <w:rsid w:val="149FD8D2"/>
    <w:rsid w:val="14BD7604"/>
    <w:rsid w:val="14CBEB04"/>
    <w:rsid w:val="14E10ECD"/>
    <w:rsid w:val="15480E68"/>
    <w:rsid w:val="15674EE5"/>
    <w:rsid w:val="1581F3BC"/>
    <w:rsid w:val="1597F43B"/>
    <w:rsid w:val="15EB6D70"/>
    <w:rsid w:val="16333CAE"/>
    <w:rsid w:val="163732E5"/>
    <w:rsid w:val="16A5FBFB"/>
    <w:rsid w:val="16D8E8CC"/>
    <w:rsid w:val="170AA8DB"/>
    <w:rsid w:val="1764A7A4"/>
    <w:rsid w:val="176E2E48"/>
    <w:rsid w:val="1771BD53"/>
    <w:rsid w:val="1780CFD6"/>
    <w:rsid w:val="17AE9D49"/>
    <w:rsid w:val="17BC1DA7"/>
    <w:rsid w:val="17C5BD0F"/>
    <w:rsid w:val="17C8AFE2"/>
    <w:rsid w:val="17EC65A7"/>
    <w:rsid w:val="18181826"/>
    <w:rsid w:val="188A6F66"/>
    <w:rsid w:val="18AE0EF2"/>
    <w:rsid w:val="18E2D519"/>
    <w:rsid w:val="1908F4C7"/>
    <w:rsid w:val="192A56BA"/>
    <w:rsid w:val="192AA90F"/>
    <w:rsid w:val="197C00BF"/>
    <w:rsid w:val="199CDB6A"/>
    <w:rsid w:val="19D4BCB0"/>
    <w:rsid w:val="1A7B8148"/>
    <w:rsid w:val="1AD71DCB"/>
    <w:rsid w:val="1B47BCF4"/>
    <w:rsid w:val="1BC4203A"/>
    <w:rsid w:val="1BCA717B"/>
    <w:rsid w:val="1BD540CB"/>
    <w:rsid w:val="1C41E34C"/>
    <w:rsid w:val="1C516E57"/>
    <w:rsid w:val="1C8BCF21"/>
    <w:rsid w:val="1CB4A25F"/>
    <w:rsid w:val="1D8503DC"/>
    <w:rsid w:val="1D935174"/>
    <w:rsid w:val="1DF19AD2"/>
    <w:rsid w:val="1E3E2670"/>
    <w:rsid w:val="1E4D6B02"/>
    <w:rsid w:val="1E691949"/>
    <w:rsid w:val="1E879FAE"/>
    <w:rsid w:val="1EE6C224"/>
    <w:rsid w:val="1F2009CB"/>
    <w:rsid w:val="1F6CF5C3"/>
    <w:rsid w:val="1F9D67BA"/>
    <w:rsid w:val="1FC4F8BA"/>
    <w:rsid w:val="1FF47B67"/>
    <w:rsid w:val="2085B9CC"/>
    <w:rsid w:val="20DCD181"/>
    <w:rsid w:val="20E84DC4"/>
    <w:rsid w:val="20E85768"/>
    <w:rsid w:val="214454F8"/>
    <w:rsid w:val="219CF1B9"/>
    <w:rsid w:val="21DC2D4E"/>
    <w:rsid w:val="22343B7C"/>
    <w:rsid w:val="2289BF9A"/>
    <w:rsid w:val="228EC633"/>
    <w:rsid w:val="233E8CA8"/>
    <w:rsid w:val="2365AB15"/>
    <w:rsid w:val="23D8E180"/>
    <w:rsid w:val="23E05217"/>
    <w:rsid w:val="241618BD"/>
    <w:rsid w:val="243086BB"/>
    <w:rsid w:val="244CF617"/>
    <w:rsid w:val="24559B1B"/>
    <w:rsid w:val="2466C5EC"/>
    <w:rsid w:val="24BFBE0F"/>
    <w:rsid w:val="24C8DFAF"/>
    <w:rsid w:val="24D6FFFF"/>
    <w:rsid w:val="24F75378"/>
    <w:rsid w:val="2567185A"/>
    <w:rsid w:val="258F1FB9"/>
    <w:rsid w:val="25AE552C"/>
    <w:rsid w:val="25C05879"/>
    <w:rsid w:val="25C742C3"/>
    <w:rsid w:val="265F8FA5"/>
    <w:rsid w:val="2661A59A"/>
    <w:rsid w:val="266732A6"/>
    <w:rsid w:val="266F9777"/>
    <w:rsid w:val="26C4C8DB"/>
    <w:rsid w:val="27003B74"/>
    <w:rsid w:val="27EF2F82"/>
    <w:rsid w:val="28090290"/>
    <w:rsid w:val="28255A1A"/>
    <w:rsid w:val="283E742C"/>
    <w:rsid w:val="2843260D"/>
    <w:rsid w:val="28572221"/>
    <w:rsid w:val="291CDF9C"/>
    <w:rsid w:val="29971020"/>
    <w:rsid w:val="29B59441"/>
    <w:rsid w:val="29C34F7F"/>
    <w:rsid w:val="2A00CA93"/>
    <w:rsid w:val="2A6DD9B4"/>
    <w:rsid w:val="2A92E1BD"/>
    <w:rsid w:val="2AA85C1A"/>
    <w:rsid w:val="2AEB3E6D"/>
    <w:rsid w:val="2B105BA3"/>
    <w:rsid w:val="2B41AA01"/>
    <w:rsid w:val="2B99C050"/>
    <w:rsid w:val="2BDF3020"/>
    <w:rsid w:val="2C2A0044"/>
    <w:rsid w:val="2C9CC277"/>
    <w:rsid w:val="2CB0EBAB"/>
    <w:rsid w:val="2D358748"/>
    <w:rsid w:val="2D3E8C76"/>
    <w:rsid w:val="2D755A32"/>
    <w:rsid w:val="2DA0FC81"/>
    <w:rsid w:val="2DACE233"/>
    <w:rsid w:val="2DC21575"/>
    <w:rsid w:val="2DF4454A"/>
    <w:rsid w:val="2E0626EB"/>
    <w:rsid w:val="2E1B2E9B"/>
    <w:rsid w:val="2E3A0E66"/>
    <w:rsid w:val="2E64CB4D"/>
    <w:rsid w:val="2E6A0D03"/>
    <w:rsid w:val="2EA2DE15"/>
    <w:rsid w:val="2EAB33FA"/>
    <w:rsid w:val="2EB30B77"/>
    <w:rsid w:val="2EB889D4"/>
    <w:rsid w:val="2F04A258"/>
    <w:rsid w:val="2F12B4B7"/>
    <w:rsid w:val="2F9AB31B"/>
    <w:rsid w:val="30310163"/>
    <w:rsid w:val="305FC41C"/>
    <w:rsid w:val="3070B6CE"/>
    <w:rsid w:val="307CC729"/>
    <w:rsid w:val="308DFA03"/>
    <w:rsid w:val="30939B6E"/>
    <w:rsid w:val="30ACBB2A"/>
    <w:rsid w:val="30B3B3F3"/>
    <w:rsid w:val="3109A153"/>
    <w:rsid w:val="311D6886"/>
    <w:rsid w:val="31359E9B"/>
    <w:rsid w:val="316CE7E3"/>
    <w:rsid w:val="31992B0C"/>
    <w:rsid w:val="32085334"/>
    <w:rsid w:val="32101689"/>
    <w:rsid w:val="32184EF1"/>
    <w:rsid w:val="325D89C8"/>
    <w:rsid w:val="327A586E"/>
    <w:rsid w:val="3320803F"/>
    <w:rsid w:val="334D3118"/>
    <w:rsid w:val="33588FF5"/>
    <w:rsid w:val="33AD578D"/>
    <w:rsid w:val="3449B061"/>
    <w:rsid w:val="34530894"/>
    <w:rsid w:val="3476FB23"/>
    <w:rsid w:val="348A1BB4"/>
    <w:rsid w:val="349C4A98"/>
    <w:rsid w:val="349C99A3"/>
    <w:rsid w:val="34A06820"/>
    <w:rsid w:val="34A37097"/>
    <w:rsid w:val="34F06223"/>
    <w:rsid w:val="3503F8F2"/>
    <w:rsid w:val="352CD3C1"/>
    <w:rsid w:val="3559A146"/>
    <w:rsid w:val="35D23599"/>
    <w:rsid w:val="35D2A087"/>
    <w:rsid w:val="35F4C04A"/>
    <w:rsid w:val="3612E690"/>
    <w:rsid w:val="365696A2"/>
    <w:rsid w:val="368F9EC1"/>
    <w:rsid w:val="36B08218"/>
    <w:rsid w:val="36FEA979"/>
    <w:rsid w:val="37171B0D"/>
    <w:rsid w:val="374AC29F"/>
    <w:rsid w:val="3788BDDF"/>
    <w:rsid w:val="37942F65"/>
    <w:rsid w:val="380FE86B"/>
    <w:rsid w:val="385A0646"/>
    <w:rsid w:val="38C7ABE4"/>
    <w:rsid w:val="390C8BB8"/>
    <w:rsid w:val="392FADDD"/>
    <w:rsid w:val="39563078"/>
    <w:rsid w:val="39BB885A"/>
    <w:rsid w:val="3A0B2877"/>
    <w:rsid w:val="3A24F6F5"/>
    <w:rsid w:val="3A40C5A6"/>
    <w:rsid w:val="3A59032C"/>
    <w:rsid w:val="3A8BFE89"/>
    <w:rsid w:val="3B1F2400"/>
    <w:rsid w:val="3B236704"/>
    <w:rsid w:val="3B32C99F"/>
    <w:rsid w:val="3B3BB718"/>
    <w:rsid w:val="3B3F3261"/>
    <w:rsid w:val="3B6000F2"/>
    <w:rsid w:val="3BDE7DF2"/>
    <w:rsid w:val="3BE34F20"/>
    <w:rsid w:val="3C4FA6FF"/>
    <w:rsid w:val="3C5C087A"/>
    <w:rsid w:val="3CD6D192"/>
    <w:rsid w:val="3D415D01"/>
    <w:rsid w:val="3D525A64"/>
    <w:rsid w:val="3DE0BF3D"/>
    <w:rsid w:val="3E366B5B"/>
    <w:rsid w:val="3E751B3D"/>
    <w:rsid w:val="3E90FE3E"/>
    <w:rsid w:val="3EDDA7DD"/>
    <w:rsid w:val="3F031737"/>
    <w:rsid w:val="3F5BAFF8"/>
    <w:rsid w:val="3FE04471"/>
    <w:rsid w:val="3FFDC3A4"/>
    <w:rsid w:val="401B183A"/>
    <w:rsid w:val="40A42317"/>
    <w:rsid w:val="40EAA728"/>
    <w:rsid w:val="41943B7E"/>
    <w:rsid w:val="419C732F"/>
    <w:rsid w:val="41CA282D"/>
    <w:rsid w:val="41EE70B9"/>
    <w:rsid w:val="42031346"/>
    <w:rsid w:val="420D64CA"/>
    <w:rsid w:val="420F81A6"/>
    <w:rsid w:val="422CDCB3"/>
    <w:rsid w:val="42B238ED"/>
    <w:rsid w:val="4322BFD6"/>
    <w:rsid w:val="43537363"/>
    <w:rsid w:val="439DEC75"/>
    <w:rsid w:val="43AEC0E4"/>
    <w:rsid w:val="441EBDBB"/>
    <w:rsid w:val="44203B43"/>
    <w:rsid w:val="4450933A"/>
    <w:rsid w:val="4472217A"/>
    <w:rsid w:val="449A05ED"/>
    <w:rsid w:val="44D6DA98"/>
    <w:rsid w:val="45016B54"/>
    <w:rsid w:val="4572E86F"/>
    <w:rsid w:val="45E1BAA6"/>
    <w:rsid w:val="46330763"/>
    <w:rsid w:val="4647B6DE"/>
    <w:rsid w:val="467F096E"/>
    <w:rsid w:val="46D6F918"/>
    <w:rsid w:val="472089E8"/>
    <w:rsid w:val="4723BBBB"/>
    <w:rsid w:val="47573167"/>
    <w:rsid w:val="4781F86E"/>
    <w:rsid w:val="47ABF49E"/>
    <w:rsid w:val="47E957E3"/>
    <w:rsid w:val="47FCD16D"/>
    <w:rsid w:val="488E42F9"/>
    <w:rsid w:val="48B2C2E0"/>
    <w:rsid w:val="48BB0B25"/>
    <w:rsid w:val="494BDA79"/>
    <w:rsid w:val="49760D88"/>
    <w:rsid w:val="49B89FCA"/>
    <w:rsid w:val="49BE7A9C"/>
    <w:rsid w:val="49C5BDD3"/>
    <w:rsid w:val="49DE52CB"/>
    <w:rsid w:val="49E11669"/>
    <w:rsid w:val="4A0CA511"/>
    <w:rsid w:val="4AA68479"/>
    <w:rsid w:val="4B06BF8F"/>
    <w:rsid w:val="4B8E7AEC"/>
    <w:rsid w:val="4BF3396B"/>
    <w:rsid w:val="4BF5933E"/>
    <w:rsid w:val="4C0DEA2B"/>
    <w:rsid w:val="4C454BE9"/>
    <w:rsid w:val="4CE5F4BB"/>
    <w:rsid w:val="4CE6AB98"/>
    <w:rsid w:val="4D32631A"/>
    <w:rsid w:val="4D4436BF"/>
    <w:rsid w:val="4DA8285D"/>
    <w:rsid w:val="4E193955"/>
    <w:rsid w:val="4E3AFE67"/>
    <w:rsid w:val="4E48A7EB"/>
    <w:rsid w:val="4ED41DE2"/>
    <w:rsid w:val="4F4E770A"/>
    <w:rsid w:val="4F879C18"/>
    <w:rsid w:val="4FB69916"/>
    <w:rsid w:val="5002B43F"/>
    <w:rsid w:val="5006B9B4"/>
    <w:rsid w:val="501BEDEB"/>
    <w:rsid w:val="501D43B4"/>
    <w:rsid w:val="5047B490"/>
    <w:rsid w:val="506601EC"/>
    <w:rsid w:val="51286883"/>
    <w:rsid w:val="513997A5"/>
    <w:rsid w:val="51657B8A"/>
    <w:rsid w:val="5174EBD5"/>
    <w:rsid w:val="51924FBC"/>
    <w:rsid w:val="51957D05"/>
    <w:rsid w:val="51D5C4A3"/>
    <w:rsid w:val="51EADBCD"/>
    <w:rsid w:val="523B069E"/>
    <w:rsid w:val="5243BEB5"/>
    <w:rsid w:val="525ECCD5"/>
    <w:rsid w:val="5291EF70"/>
    <w:rsid w:val="535AD488"/>
    <w:rsid w:val="53C9D501"/>
    <w:rsid w:val="543A9E5E"/>
    <w:rsid w:val="54ADD966"/>
    <w:rsid w:val="54B22C10"/>
    <w:rsid w:val="54B68567"/>
    <w:rsid w:val="551CD5E1"/>
    <w:rsid w:val="55700887"/>
    <w:rsid w:val="558BC91B"/>
    <w:rsid w:val="5595B37D"/>
    <w:rsid w:val="55B537EC"/>
    <w:rsid w:val="55D1BE4C"/>
    <w:rsid w:val="55D2007B"/>
    <w:rsid w:val="55EAEF99"/>
    <w:rsid w:val="561AE391"/>
    <w:rsid w:val="5633935B"/>
    <w:rsid w:val="563E5852"/>
    <w:rsid w:val="567D467B"/>
    <w:rsid w:val="568C2A43"/>
    <w:rsid w:val="56DF3E13"/>
    <w:rsid w:val="57036588"/>
    <w:rsid w:val="5711BF63"/>
    <w:rsid w:val="57204E18"/>
    <w:rsid w:val="5769D706"/>
    <w:rsid w:val="576E86CA"/>
    <w:rsid w:val="58065F9D"/>
    <w:rsid w:val="58985AB6"/>
    <w:rsid w:val="58E1F3AE"/>
    <w:rsid w:val="5901B3B2"/>
    <w:rsid w:val="596FCD89"/>
    <w:rsid w:val="59D95BA9"/>
    <w:rsid w:val="5B316012"/>
    <w:rsid w:val="5B4A1E69"/>
    <w:rsid w:val="5B4B32C2"/>
    <w:rsid w:val="5B65308F"/>
    <w:rsid w:val="5BA6A9EB"/>
    <w:rsid w:val="5BD096C9"/>
    <w:rsid w:val="5C1F01A0"/>
    <w:rsid w:val="5CFA9CF6"/>
    <w:rsid w:val="5D2CDE52"/>
    <w:rsid w:val="5D556E04"/>
    <w:rsid w:val="5D725B44"/>
    <w:rsid w:val="5D936317"/>
    <w:rsid w:val="5D966C30"/>
    <w:rsid w:val="5DCC9417"/>
    <w:rsid w:val="5E18DB4B"/>
    <w:rsid w:val="5E3B67A7"/>
    <w:rsid w:val="5E53C1B0"/>
    <w:rsid w:val="5E93BD9D"/>
    <w:rsid w:val="5E9A27EB"/>
    <w:rsid w:val="5EA65410"/>
    <w:rsid w:val="5EC0E8E6"/>
    <w:rsid w:val="5FD92FBC"/>
    <w:rsid w:val="600F3CB8"/>
    <w:rsid w:val="6030C6BE"/>
    <w:rsid w:val="60BC8B56"/>
    <w:rsid w:val="6100511F"/>
    <w:rsid w:val="61033E95"/>
    <w:rsid w:val="610F03A9"/>
    <w:rsid w:val="61128732"/>
    <w:rsid w:val="61AAE50A"/>
    <w:rsid w:val="61CE887F"/>
    <w:rsid w:val="62194177"/>
    <w:rsid w:val="62260EE3"/>
    <w:rsid w:val="624A3FCA"/>
    <w:rsid w:val="626A8A55"/>
    <w:rsid w:val="62973765"/>
    <w:rsid w:val="62B68DC0"/>
    <w:rsid w:val="63089CA3"/>
    <w:rsid w:val="63719A4C"/>
    <w:rsid w:val="6381A497"/>
    <w:rsid w:val="63CB44F8"/>
    <w:rsid w:val="63E7AB7B"/>
    <w:rsid w:val="63FB4ACD"/>
    <w:rsid w:val="649837AF"/>
    <w:rsid w:val="651122DF"/>
    <w:rsid w:val="654C79D0"/>
    <w:rsid w:val="65C1EEBE"/>
    <w:rsid w:val="65F07EE9"/>
    <w:rsid w:val="65FB014E"/>
    <w:rsid w:val="668012FC"/>
    <w:rsid w:val="66B2FA86"/>
    <w:rsid w:val="6706E81F"/>
    <w:rsid w:val="673DC72D"/>
    <w:rsid w:val="6742A3FF"/>
    <w:rsid w:val="679FC074"/>
    <w:rsid w:val="67A83B96"/>
    <w:rsid w:val="67ADACC2"/>
    <w:rsid w:val="67E2CCEA"/>
    <w:rsid w:val="6824D2BE"/>
    <w:rsid w:val="684C073F"/>
    <w:rsid w:val="690EFBA8"/>
    <w:rsid w:val="691C60C9"/>
    <w:rsid w:val="697304B5"/>
    <w:rsid w:val="6990C6B6"/>
    <w:rsid w:val="69933B31"/>
    <w:rsid w:val="6A026BEE"/>
    <w:rsid w:val="6A15D0D6"/>
    <w:rsid w:val="6A272C2A"/>
    <w:rsid w:val="6AA94AEC"/>
    <w:rsid w:val="6AF41A47"/>
    <w:rsid w:val="6B290921"/>
    <w:rsid w:val="6B7C77A0"/>
    <w:rsid w:val="6BC640C4"/>
    <w:rsid w:val="6C527942"/>
    <w:rsid w:val="6CA120F5"/>
    <w:rsid w:val="6CD32BFF"/>
    <w:rsid w:val="6D6A5F29"/>
    <w:rsid w:val="6D6F0450"/>
    <w:rsid w:val="6D84CEF3"/>
    <w:rsid w:val="6DA48952"/>
    <w:rsid w:val="6DB383D5"/>
    <w:rsid w:val="6DD597EB"/>
    <w:rsid w:val="6DF2E6FB"/>
    <w:rsid w:val="6E2E45BD"/>
    <w:rsid w:val="6EAE4BDB"/>
    <w:rsid w:val="6F6564B9"/>
    <w:rsid w:val="6F89EC79"/>
    <w:rsid w:val="6F95E113"/>
    <w:rsid w:val="6FABAB99"/>
    <w:rsid w:val="707E544F"/>
    <w:rsid w:val="708C4E75"/>
    <w:rsid w:val="70C3AD01"/>
    <w:rsid w:val="70DCD5B3"/>
    <w:rsid w:val="7108C370"/>
    <w:rsid w:val="713CEC5A"/>
    <w:rsid w:val="71432CA0"/>
    <w:rsid w:val="717486ED"/>
    <w:rsid w:val="717C263C"/>
    <w:rsid w:val="71E4976E"/>
    <w:rsid w:val="7205B49E"/>
    <w:rsid w:val="7225982C"/>
    <w:rsid w:val="722CA18A"/>
    <w:rsid w:val="7241888B"/>
    <w:rsid w:val="72A504F7"/>
    <w:rsid w:val="7319AE1C"/>
    <w:rsid w:val="731A94F0"/>
    <w:rsid w:val="732CF6B7"/>
    <w:rsid w:val="733BBC76"/>
    <w:rsid w:val="737368A5"/>
    <w:rsid w:val="73AF459C"/>
    <w:rsid w:val="73D30A8D"/>
    <w:rsid w:val="73E5DDE5"/>
    <w:rsid w:val="741D26D1"/>
    <w:rsid w:val="7429C54E"/>
    <w:rsid w:val="7453B312"/>
    <w:rsid w:val="751E191B"/>
    <w:rsid w:val="75538C19"/>
    <w:rsid w:val="7563FA90"/>
    <w:rsid w:val="7578C810"/>
    <w:rsid w:val="75921D72"/>
    <w:rsid w:val="760123A0"/>
    <w:rsid w:val="76249192"/>
    <w:rsid w:val="7634C4C9"/>
    <w:rsid w:val="76754EC7"/>
    <w:rsid w:val="769CB0D9"/>
    <w:rsid w:val="7760F49E"/>
    <w:rsid w:val="77625D86"/>
    <w:rsid w:val="7763A624"/>
    <w:rsid w:val="7772918B"/>
    <w:rsid w:val="781710CE"/>
    <w:rsid w:val="7865CED7"/>
    <w:rsid w:val="787B3DBE"/>
    <w:rsid w:val="78A181AF"/>
    <w:rsid w:val="78A55419"/>
    <w:rsid w:val="790138C5"/>
    <w:rsid w:val="793EB4D7"/>
    <w:rsid w:val="795C3166"/>
    <w:rsid w:val="798F5C62"/>
    <w:rsid w:val="79D6BB6B"/>
    <w:rsid w:val="79DACC73"/>
    <w:rsid w:val="7A16A29B"/>
    <w:rsid w:val="7A588A96"/>
    <w:rsid w:val="7A591C8F"/>
    <w:rsid w:val="7A81EB4B"/>
    <w:rsid w:val="7A9057B0"/>
    <w:rsid w:val="7AD74777"/>
    <w:rsid w:val="7B3C42AB"/>
    <w:rsid w:val="7B562010"/>
    <w:rsid w:val="7B5E2555"/>
    <w:rsid w:val="7B72715F"/>
    <w:rsid w:val="7B7FF1A1"/>
    <w:rsid w:val="7BC35B56"/>
    <w:rsid w:val="7BE22268"/>
    <w:rsid w:val="7BF78CA9"/>
    <w:rsid w:val="7C0C2661"/>
    <w:rsid w:val="7C1264BC"/>
    <w:rsid w:val="7C39C517"/>
    <w:rsid w:val="7C5868AC"/>
    <w:rsid w:val="7CCD8DD7"/>
    <w:rsid w:val="7CEBDE84"/>
    <w:rsid w:val="7D16C503"/>
    <w:rsid w:val="7D3897F7"/>
    <w:rsid w:val="7D7277F3"/>
    <w:rsid w:val="7DAD90B7"/>
    <w:rsid w:val="7DB0656B"/>
    <w:rsid w:val="7DBD22CE"/>
    <w:rsid w:val="7DF5E954"/>
    <w:rsid w:val="7DF950D5"/>
    <w:rsid w:val="7E10FCE4"/>
    <w:rsid w:val="7E2D06ED"/>
    <w:rsid w:val="7E410EE0"/>
    <w:rsid w:val="7E819170"/>
    <w:rsid w:val="7EA2520B"/>
    <w:rsid w:val="7F161847"/>
    <w:rsid w:val="7F75D0D2"/>
    <w:rsid w:val="7F9A063B"/>
    <w:rsid w:val="7FE9602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6E99BC"/>
  <w15:chartTrackingRefBased/>
  <w15:docId w15:val="{D17ABA84-33D2-4EAD-9716-FD719DA6F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101"/>
    <w:pPr>
      <w:spacing w:line="360" w:lineRule="auto"/>
      <w:jc w:val="both"/>
    </w:pPr>
    <w:rPr>
      <w:rFonts w:ascii="Calibri" w:hAnsi="Calibri"/>
      <w:lang w:val="en-GB"/>
    </w:rPr>
  </w:style>
  <w:style w:type="paragraph" w:styleId="Ttulo1">
    <w:name w:val="heading 1"/>
    <w:basedOn w:val="Normal"/>
    <w:next w:val="Normal"/>
    <w:uiPriority w:val="9"/>
    <w:qFormat/>
    <w:rsid w:val="0C0F1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C0F1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autoRedefine/>
    <w:uiPriority w:val="9"/>
    <w:unhideWhenUsed/>
    <w:qFormat/>
    <w:rsid w:val="008773A4"/>
    <w:pPr>
      <w:keepNext/>
      <w:keepLines/>
      <w:spacing w:before="160" w:after="80"/>
      <w:outlineLvl w:val="2"/>
    </w:pPr>
    <w:rPr>
      <w:rFonts w:eastAsiaTheme="majorEastAsia" w:cstheme="majorBidi"/>
      <w:b/>
      <w:bCs/>
      <w:color w:val="0F4761" w:themeColor="accent1" w:themeShade="BF"/>
      <w:sz w:val="28"/>
      <w:szCs w:val="28"/>
    </w:rPr>
  </w:style>
  <w:style w:type="paragraph" w:styleId="Ttulo4">
    <w:name w:val="heading 4"/>
    <w:basedOn w:val="Normal"/>
    <w:next w:val="Normal"/>
    <w:autoRedefine/>
    <w:uiPriority w:val="9"/>
    <w:unhideWhenUsed/>
    <w:qFormat/>
    <w:rsid w:val="008773A4"/>
    <w:pPr>
      <w:keepNext/>
      <w:keepLines/>
      <w:spacing w:before="319" w:after="319"/>
      <w:outlineLvl w:val="3"/>
    </w:pPr>
    <w:rPr>
      <w:rFonts w:eastAsia="Aptos" w:cs="Aptos"/>
      <w:b/>
      <w:bCs/>
      <w:i/>
      <w:iCs/>
      <w:color w:val="0F4761" w:themeColor="accent1" w:themeShade="BF"/>
    </w:rPr>
  </w:style>
  <w:style w:type="paragraph" w:styleId="Ttulo5">
    <w:name w:val="heading 5"/>
    <w:basedOn w:val="Normal"/>
    <w:next w:val="Normal"/>
    <w:uiPriority w:val="9"/>
    <w:unhideWhenUsed/>
    <w:qFormat/>
    <w:rsid w:val="3EDDA7DD"/>
    <w:pPr>
      <w:keepNext/>
      <w:keepLines/>
      <w:spacing w:before="80" w:after="40"/>
      <w:outlineLvl w:val="4"/>
    </w:pPr>
    <w:rPr>
      <w:rFonts w:eastAsiaTheme="majorEastAsia"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58065F9D"/>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mmentText">
    <w:name w:val="Comment Text"/>
    <w:basedOn w:val="Normal"/>
    <w:link w:val="CommentTextChar"/>
    <w:uiPriority w:val="99"/>
    <w:unhideWhenUsed/>
    <w:pPr>
      <w:spacing w:line="240" w:lineRule="auto"/>
    </w:pPr>
    <w:rPr>
      <w:sz w:val="20"/>
      <w:szCs w:val="20"/>
    </w:rPr>
  </w:style>
  <w:style w:type="character" w:customStyle="1" w:styleId="CommentTextChar">
    <w:name w:val="Comment Text Char"/>
    <w:basedOn w:val="Fuentedeprrafopredeter"/>
    <w:link w:val="CommentText"/>
    <w:uiPriority w:val="99"/>
    <w:rPr>
      <w:sz w:val="20"/>
      <w:szCs w:val="20"/>
    </w:rPr>
  </w:style>
  <w:style w:type="character" w:customStyle="1" w:styleId="CommentReference">
    <w:name w:val="Comment Reference"/>
    <w:basedOn w:val="Fuentedeprrafopredeter"/>
    <w:uiPriority w:val="99"/>
    <w:semiHidden/>
    <w:unhideWhenUsed/>
    <w:rPr>
      <w:sz w:val="16"/>
      <w:szCs w:val="16"/>
    </w:rPr>
  </w:style>
  <w:style w:type="paragraph" w:styleId="Encabezado">
    <w:name w:val="header"/>
    <w:basedOn w:val="Normal"/>
    <w:uiPriority w:val="99"/>
    <w:unhideWhenUsed/>
    <w:rsid w:val="441EBDBB"/>
    <w:pPr>
      <w:tabs>
        <w:tab w:val="center" w:pos="4680"/>
        <w:tab w:val="right" w:pos="9360"/>
      </w:tabs>
      <w:spacing w:after="0" w:line="240" w:lineRule="auto"/>
    </w:pPr>
  </w:style>
  <w:style w:type="paragraph" w:styleId="Piedepgina">
    <w:name w:val="footer"/>
    <w:basedOn w:val="Normal"/>
    <w:link w:val="PiedepginaCar"/>
    <w:uiPriority w:val="99"/>
    <w:unhideWhenUsed/>
    <w:rsid w:val="441EBDBB"/>
    <w:pPr>
      <w:tabs>
        <w:tab w:val="center" w:pos="4680"/>
        <w:tab w:val="right" w:pos="9360"/>
      </w:tabs>
      <w:spacing w:after="0" w:line="240" w:lineRule="auto"/>
    </w:pPr>
  </w:style>
  <w:style w:type="paragraph" w:styleId="TDC3">
    <w:name w:val="toc 3"/>
    <w:basedOn w:val="Normal"/>
    <w:next w:val="Normal"/>
    <w:uiPriority w:val="39"/>
    <w:unhideWhenUsed/>
    <w:rsid w:val="441EBDBB"/>
    <w:pPr>
      <w:spacing w:after="100"/>
      <w:ind w:left="440"/>
    </w:pPr>
  </w:style>
  <w:style w:type="character" w:styleId="Hipervnculo">
    <w:name w:val="Hyperlink"/>
    <w:basedOn w:val="Fuentedeprrafopredeter"/>
    <w:uiPriority w:val="99"/>
    <w:unhideWhenUsed/>
    <w:rsid w:val="441EBDBB"/>
    <w:rPr>
      <w:color w:val="467886"/>
      <w:u w:val="single"/>
    </w:rPr>
  </w:style>
  <w:style w:type="paragraph" w:styleId="TDC4">
    <w:name w:val="toc 4"/>
    <w:basedOn w:val="Normal"/>
    <w:next w:val="Normal"/>
    <w:uiPriority w:val="39"/>
    <w:unhideWhenUsed/>
    <w:rsid w:val="441EBDBB"/>
    <w:pPr>
      <w:spacing w:after="100"/>
      <w:ind w:left="660"/>
    </w:pPr>
  </w:style>
  <w:style w:type="paragraph" w:styleId="TtuloTDC">
    <w:name w:val="TOC Heading"/>
    <w:basedOn w:val="Ttulo1"/>
    <w:next w:val="Normal"/>
    <w:uiPriority w:val="39"/>
    <w:unhideWhenUsed/>
    <w:qFormat/>
    <w:rsid w:val="00546101"/>
    <w:pPr>
      <w:spacing w:before="240" w:after="0" w:line="259" w:lineRule="auto"/>
      <w:jc w:val="left"/>
      <w:outlineLvl w:val="9"/>
    </w:pPr>
    <w:rPr>
      <w:sz w:val="32"/>
      <w:szCs w:val="32"/>
      <w:lang w:eastAsia="en-GB"/>
    </w:rPr>
  </w:style>
  <w:style w:type="paragraph" w:styleId="TDC1">
    <w:name w:val="toc 1"/>
    <w:basedOn w:val="Normal"/>
    <w:next w:val="Normal"/>
    <w:autoRedefine/>
    <w:uiPriority w:val="39"/>
    <w:semiHidden/>
    <w:unhideWhenUsed/>
    <w:rsid w:val="000878FD"/>
    <w:pPr>
      <w:spacing w:after="100"/>
    </w:pPr>
  </w:style>
  <w:style w:type="paragraph" w:styleId="Tabladeilustraciones">
    <w:name w:val="table of figures"/>
    <w:basedOn w:val="Normal"/>
    <w:next w:val="Normal"/>
    <w:uiPriority w:val="99"/>
    <w:semiHidden/>
    <w:unhideWhenUsed/>
    <w:rsid w:val="000878FD"/>
    <w:pPr>
      <w:spacing w:after="0"/>
    </w:pPr>
  </w:style>
  <w:style w:type="paragraph" w:customStyle="1" w:styleId="CommentSubject">
    <w:name w:val="Comment Subject"/>
    <w:basedOn w:val="CommentText"/>
    <w:next w:val="CommentText"/>
    <w:link w:val="CommentSubjectChar"/>
    <w:uiPriority w:val="99"/>
    <w:semiHidden/>
    <w:unhideWhenUsed/>
    <w:rsid w:val="000878FD"/>
    <w:rPr>
      <w:b/>
      <w:bCs/>
    </w:rPr>
  </w:style>
  <w:style w:type="character" w:customStyle="1" w:styleId="CommentSubjectChar">
    <w:name w:val="Comment Subject Char"/>
    <w:basedOn w:val="CommentTextChar"/>
    <w:link w:val="CommentSubject"/>
    <w:uiPriority w:val="99"/>
    <w:semiHidden/>
    <w:rsid w:val="000878FD"/>
    <w:rPr>
      <w:rFonts w:ascii="Calibri" w:hAnsi="Calibri"/>
      <w:b/>
      <w:bCs/>
      <w:sz w:val="20"/>
      <w:szCs w:val="20"/>
    </w:rPr>
  </w:style>
  <w:style w:type="paragraph" w:styleId="Descripcin">
    <w:name w:val="caption"/>
    <w:basedOn w:val="Normal"/>
    <w:next w:val="Normal"/>
    <w:uiPriority w:val="35"/>
    <w:unhideWhenUsed/>
    <w:qFormat/>
    <w:rsid w:val="001364E4"/>
    <w:pPr>
      <w:spacing w:after="200" w:line="240" w:lineRule="auto"/>
    </w:pPr>
    <w:rPr>
      <w:i/>
      <w:iCs/>
      <w:color w:val="0E2841" w:themeColor="text2"/>
      <w:sz w:val="18"/>
      <w:szCs w:val="18"/>
    </w:rPr>
  </w:style>
  <w:style w:type="character" w:customStyle="1" w:styleId="PiedepginaCar">
    <w:name w:val="Pie de página Car"/>
    <w:basedOn w:val="Fuentedeprrafopredeter"/>
    <w:link w:val="Piedepgina"/>
    <w:uiPriority w:val="99"/>
    <w:rsid w:val="001364E4"/>
    <w:rPr>
      <w:rFonts w:ascii="Calibri" w:hAnsi="Calibri"/>
      <w:lang w:val="en-GB"/>
    </w:rPr>
  </w:style>
  <w:style w:type="paragraph" w:customStyle="1" w:styleId="Ttulo10">
    <w:name w:val="Título1"/>
    <w:basedOn w:val="Normal"/>
    <w:rPr>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ranslatedLang xmlns="55fa6559-6548-493a-bddc-9eba090e1cd4" xsi:nil="true"/>
    <lcf76f155ced4ddcb4097134ff3c332f xmlns="55fa6559-6548-493a-bddc-9eba090e1cd4">
      <Terms xmlns="http://schemas.microsoft.com/office/infopath/2007/PartnerControls"/>
    </lcf76f155ced4ddcb4097134ff3c332f>
    <TaxCatchAll xmlns="e07ec2dc-b44d-4cb9-bd12-5a2a513b4fbd" xsi:nil="true"/>
    <Notes_x002f_Comments xmlns="55fa6559-6548-493a-bddc-9eba090e1cd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95E66836DC97340ABDAAF1455FC752E" ma:contentTypeVersion="18" ma:contentTypeDescription="Create a new document." ma:contentTypeScope="" ma:versionID="10ea6731051b7bc32a652ff7d9fd149d">
  <xsd:schema xmlns:xsd="http://www.w3.org/2001/XMLSchema" xmlns:xs="http://www.w3.org/2001/XMLSchema" xmlns:p="http://schemas.microsoft.com/office/2006/metadata/properties" xmlns:ns2="55fa6559-6548-493a-bddc-9eba090e1cd4" xmlns:ns3="e07ec2dc-b44d-4cb9-bd12-5a2a513b4fbd" targetNamespace="http://schemas.microsoft.com/office/2006/metadata/properties" ma:root="true" ma:fieldsID="094bcc526e6a4992a9a84b953f5a8ec0" ns2:_="" ns3:_="">
    <xsd:import namespace="55fa6559-6548-493a-bddc-9eba090e1cd4"/>
    <xsd:import namespace="e07ec2dc-b44d-4cb9-bd12-5a2a513b4fb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2:MediaLengthInSeconds" minOccurs="0"/>
                <xsd:element ref="ns2:MediaServiceSearchProperties" minOccurs="0"/>
                <xsd:element ref="ns2:TranslatedLang" minOccurs="0"/>
                <xsd:element ref="ns2:MediaServiceBillingMetadata" minOccurs="0"/>
                <xsd:element ref="ns2:Notes_x002f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fa6559-6548-493a-bddc-9eba090e1c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77b169b-7464-4c14-89c9-ab876efcba04"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ranslatedLang" ma:index="23" nillable="true" ma:displayName="Translated Language" ma:internalName="TranslatedLang">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Notes_x002f_Comments" ma:index="25" nillable="true" ma:displayName="Notes/Comments" ma:format="Dropdown" ma:internalName="Notes_x002f_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7ec2dc-b44d-4cb9-bd12-5a2a513b4f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2596f74-d849-4044-ad04-517e07ee4e8a}" ma:internalName="TaxCatchAll" ma:showField="CatchAllData" ma:web="e07ec2dc-b44d-4cb9-bd12-5a2a513b4fb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DFD593-933C-43BE-98F5-5C5B7E88BDC6}">
  <ds:schemaRefs>
    <ds:schemaRef ds:uri="http://schemas.microsoft.com/office/2006/metadata/properties"/>
    <ds:schemaRef ds:uri="http://schemas.microsoft.com/office/infopath/2007/PartnerControls"/>
    <ds:schemaRef ds:uri="55fa6559-6548-493a-bddc-9eba090e1cd4"/>
    <ds:schemaRef ds:uri="e07ec2dc-b44d-4cb9-bd12-5a2a513b4fbd"/>
  </ds:schemaRefs>
</ds:datastoreItem>
</file>

<file path=customXml/itemProps2.xml><?xml version="1.0" encoding="utf-8"?>
<ds:datastoreItem xmlns:ds="http://schemas.openxmlformats.org/officeDocument/2006/customXml" ds:itemID="{532F8640-4578-43E0-B025-AE4F85A6B19F}">
  <ds:schemaRefs>
    <ds:schemaRef ds:uri="http://schemas.openxmlformats.org/officeDocument/2006/bibliography"/>
  </ds:schemaRefs>
</ds:datastoreItem>
</file>

<file path=customXml/itemProps3.xml><?xml version="1.0" encoding="utf-8"?>
<ds:datastoreItem xmlns:ds="http://schemas.openxmlformats.org/officeDocument/2006/customXml" ds:itemID="{7B014B28-67A9-4A43-86E3-256BD05602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fa6559-6548-493a-bddc-9eba090e1cd4"/>
    <ds:schemaRef ds:uri="e07ec2dc-b44d-4cb9-bd12-5a2a513b4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FDF39A-306E-423E-A34B-2015B5072F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4949</Words>
  <Characters>27223</Characters>
  <Application>Microsoft Office Word</Application>
  <DocSecurity>0</DocSecurity>
  <Lines>226</Lines>
  <Paragraphs>64</Paragraphs>
  <ScaleCrop>false</ScaleCrop>
  <Company/>
  <LinksUpToDate>false</LinksUpToDate>
  <CharactersWithSpaces>32108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ANFORA Innovator Indicators Review Revision 3</dc:title>
  <dc:subject>Internal working review: declarations and PostHog evidence; 1 March to 31 August 2026</dc:subject>
  <dc:creator>Evenor-Tech S.L.U.</dc:creator>
  <cp:keywords/>
  <dc:description/>
  <cp:lastModifiedBy>Jesús Vázquez</cp:lastModifiedBy>
  <cp:revision>22</cp:revision>
  <dcterms:created xsi:type="dcterms:W3CDTF">2025-11-04T15:22:00Z</dcterms:created>
  <dcterms:modified xsi:type="dcterms:W3CDTF">2026-10-21T11:01:00Z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0x010100F95E66836DC97340ABDAAF1455FC752E</vt:lpwstr>
  </property>
  <property fmtid="{D5CDD505-2E9C-101B-9397-08002B2CF9AE}" pid="3" name="MediaServiceImageTags">
    <vt:lpwstr/>
  </property>
  <property fmtid="{D5CDD505-2E9C-101B-9397-08002B2CF9AE}" pid="4" name="GrammarlyDocumentId">
    <vt:lpwstr>3f5d08ba-2dcd-464b-a3fa-687b959c068e</vt:lpwstr>
  </property>
</Properties>
</file>