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29AE1" w14:textId="77777777" w:rsidR="0061542B" w:rsidRDefault="00447B7B" w:rsidP="441EBDBB">
      <w:pPr>
        <w:jc w:val="center"/>
      </w:pPr>
      <w:r>
        <w:rPr>
          <w:noProof/>
        </w:rPr>
        <w:drawing>
          <wp:anchor distT="0" distB="0" distL="114300" distR="114300" simplePos="0" relativeHeight="251659264" behindDoc="0" locked="0" layoutInCell="1" allowOverlap="1" wp14:anchorId="2FB040B3" wp14:editId="17AEECDF">
            <wp:simplePos x="0" y="0"/>
            <wp:positionH relativeFrom="page">
              <wp:posOffset>914400</wp:posOffset>
            </wp:positionH>
            <wp:positionV relativeFrom="page">
              <wp:posOffset>9499600</wp:posOffset>
            </wp:positionV>
            <wp:extent cx="1841500" cy="558800"/>
            <wp:effectExtent l="0" t="0" r="6350" b="0"/>
            <wp:wrapNone/>
            <wp:docPr id="2" name="Imagen 2" descr="Co-funded by the European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o-funded by the European Union"/>
                    <pic:cNvPicPr/>
                  </pic:nvPicPr>
                  <pic:blipFill>
                    <a:blip r:embed="rId11">
                      <a:extLst>
                        <a:ext uri="{28A0092B-C50C-407E-A947-70E740481C1C}">
                          <a14:useLocalDpi xmlns:a14="http://schemas.microsoft.com/office/drawing/2010/main" val="0"/>
                        </a:ext>
                      </a:extLst>
                    </a:blip>
                    <a:stretch>
                      <a:fillRect/>
                    </a:stretch>
                  </pic:blipFill>
                  <pic:spPr>
                    <a:xfrm>
                      <a:off x="0" y="0"/>
                      <a:ext cx="1841500" cy="558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2CC1D252" wp14:editId="22AE6D2E">
            <wp:simplePos x="0" y="0"/>
            <wp:positionH relativeFrom="page">
              <wp:posOffset>6223000</wp:posOffset>
            </wp:positionH>
            <wp:positionV relativeFrom="page">
              <wp:posOffset>431800</wp:posOffset>
            </wp:positionV>
            <wp:extent cx="508000" cy="1143000"/>
            <wp:effectExtent l="0" t="0" r="6350" b="0"/>
            <wp:wrapNone/>
            <wp:docPr id="1" name="Imagen 1" descr="ANFORA solu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NFORA solution logo"/>
                    <pic:cNvPicPr/>
                  </pic:nvPicPr>
                  <pic:blipFill>
                    <a:blip r:embed="rId12">
                      <a:extLst>
                        <a:ext uri="{28A0092B-C50C-407E-A947-70E740481C1C}">
                          <a14:useLocalDpi xmlns:a14="http://schemas.microsoft.com/office/drawing/2010/main" val="0"/>
                        </a:ext>
                      </a:extLst>
                    </a:blip>
                    <a:stretch>
                      <a:fillRect/>
                    </a:stretch>
                  </pic:blipFill>
                  <pic:spPr>
                    <a:xfrm>
                      <a:off x="0" y="0"/>
                      <a:ext cx="508000" cy="1143000"/>
                    </a:xfrm>
                    <a:prstGeom prst="rect">
                      <a:avLst/>
                    </a:prstGeom>
                  </pic:spPr>
                </pic:pic>
              </a:graphicData>
            </a:graphic>
            <wp14:sizeRelH relativeFrom="margin">
              <wp14:pctWidth>0</wp14:pctWidth>
            </wp14:sizeRelH>
            <wp14:sizeRelV relativeFrom="margin">
              <wp14:pctHeight>0</wp14:pctHeight>
            </wp14:sizeRelV>
          </wp:anchor>
        </w:drawing>
      </w:r>
      <w:r w:rsidR="5B4B32C2" w:rsidRPr="008773A4">
        <w:rPr>
          <w:noProof/>
        </w:rPr>
        <w:drawing>
          <wp:inline distT="0" distB="0" distL="0" distR="0" wp14:anchorId="189F4BF0" wp14:editId="323101F1">
            <wp:extent cx="5724525" cy="3552825"/>
            <wp:effectExtent l="0" t="0" r="0" b="0"/>
            <wp:docPr id="1887814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14340"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3552825"/>
                    </a:xfrm>
                    <a:prstGeom prst="rect">
                      <a:avLst/>
                    </a:prstGeom>
                  </pic:spPr>
                </pic:pic>
              </a:graphicData>
            </a:graphic>
          </wp:inline>
        </w:drawing>
      </w:r>
    </w:p>
    <w:p w14:paraId="1ACC75CB" w14:textId="77777777" w:rsidR="00546101" w:rsidRPr="008773A4" w:rsidRDefault="00546101" w:rsidP="441EBDBB">
      <w:pPr>
        <w:spacing w:line="276" w:lineRule="auto"/>
        <w:jc w:val="center"/>
        <w:rPr>
          <w:rFonts w:eastAsia="Calibri" w:cs="Calibri"/>
          <w:b/>
          <w:bCs/>
        </w:rPr>
      </w:pPr>
    </w:p>
    <w:p w14:paraId="30CFAE3C" w14:textId="77777777" w:rsidR="00546101" w:rsidRPr="008773A4" w:rsidRDefault="00546101" w:rsidP="441EBDBB">
      <w:pPr>
        <w:spacing w:line="276" w:lineRule="auto"/>
        <w:jc w:val="center"/>
        <w:rPr>
          <w:rFonts w:eastAsia="Calibri" w:cs="Calibri"/>
          <w:b/>
          <w:bCs/>
        </w:rPr>
      </w:pPr>
    </w:p>
    <w:p w14:paraId="2A5C0432" w14:textId="77777777" w:rsidR="00546101" w:rsidRPr="008773A4" w:rsidRDefault="00546101" w:rsidP="441EBDBB">
      <w:pPr>
        <w:spacing w:line="276" w:lineRule="auto"/>
        <w:jc w:val="center"/>
        <w:rPr>
          <w:rFonts w:eastAsia="Calibri" w:cs="Calibri"/>
          <w:b/>
          <w:bCs/>
        </w:rPr>
      </w:pPr>
    </w:p>
    <w:p w14:paraId="2719C82F" w14:textId="77777777" w:rsidR="707E544F" w:rsidRPr="0069239F" w:rsidRDefault="6E2E45BD" w:rsidP="3EDDA7DD">
      <w:pPr>
        <w:pStyle w:val="Ttulo10"/>
        <w:spacing w:line="276" w:lineRule="auto"/>
        <w:jc w:val="center"/>
        <w:rPr>
          <w:rFonts w:eastAsia="Calibri" w:cs="Calibri"/>
        </w:rPr>
      </w:pPr>
      <w:r w:rsidRPr="3EDDA7DD">
        <w:rPr>
          <w:rFonts w:eastAsia="Calibri" w:cs="Calibri"/>
          <w:bCs/>
        </w:rPr>
        <w:t>RURACTIVE Monitoring Integration</w:t>
      </w:r>
    </w:p>
    <w:p w14:paraId="23217AA2" w14:textId="77777777" w:rsidR="707E544F" w:rsidRPr="008773A4" w:rsidRDefault="002B32FF" w:rsidP="441EBDBB">
      <w:pPr>
        <w:spacing w:line="276" w:lineRule="auto"/>
        <w:jc w:val="center"/>
        <w:rPr>
          <w:rFonts w:eastAsia="Calibri" w:cs="Calibri"/>
        </w:rPr>
      </w:pPr>
      <w:r>
        <w:rPr>
          <w:rFonts w:eastAsia="Calibri" w:cs="Calibri"/>
          <w:b/>
          <w:bCs/>
        </w:rPr>
        <w:t>ANFORA – Digital platform for water footprint analysis</w:t>
      </w:r>
    </w:p>
    <w:p w14:paraId="566A5E3C" w14:textId="77777777" w:rsidR="25C05879" w:rsidRPr="008773A4" w:rsidRDefault="002B32FF" w:rsidP="441EBDBB">
      <w:pPr>
        <w:spacing w:line="276" w:lineRule="auto"/>
        <w:jc w:val="center"/>
        <w:rPr>
          <w:rFonts w:eastAsia="Calibri" w:cs="Calibri"/>
        </w:rPr>
      </w:pPr>
      <w:r>
        <w:rPr>
          <w:rFonts w:eastAsia="Calibri" w:cs="Calibri"/>
          <w:b/>
          <w:bCs/>
        </w:rPr>
        <w:t>Evenor-Tech S.L.U.</w:t>
      </w:r>
    </w:p>
    <w:p w14:paraId="49AE0547" w14:textId="77777777" w:rsidR="707E544F" w:rsidRPr="008773A4" w:rsidRDefault="002B32FF" w:rsidP="441EBDBB">
      <w:pPr>
        <w:spacing w:line="276" w:lineRule="auto"/>
        <w:jc w:val="center"/>
        <w:rPr>
          <w:rFonts w:eastAsia="Calibri" w:cs="Calibri"/>
        </w:rPr>
      </w:pPr>
      <w:r>
        <w:rPr>
          <w:rFonts w:eastAsia="Calibri" w:cs="Calibri"/>
          <w:b/>
          <w:bCs/>
        </w:rPr>
        <w:t>D05 – Lucena, Spain</w:t>
      </w:r>
    </w:p>
    <w:p w14:paraId="340D5AB2" w14:textId="77777777" w:rsidR="707E544F" w:rsidRPr="008773A4" w:rsidRDefault="002B32FF" w:rsidP="3EDDA7DD">
      <w:pPr>
        <w:spacing w:line="276" w:lineRule="auto"/>
        <w:jc w:val="center"/>
      </w:pPr>
      <w:r>
        <w:rPr>
          <w:rFonts w:eastAsia="Calibri" w:cs="Calibri"/>
          <w:b/>
          <w:bCs/>
        </w:rPr>
        <w:t>Reference period: 1 March-31 August 2026</w:t>
      </w:r>
    </w:p>
    <w:p w14:paraId="7F5D39B3" w14:textId="77777777" w:rsidR="5E53C1B0" w:rsidRDefault="5E53C1B0" w:rsidP="6100511F">
      <w:pPr>
        <w:spacing w:line="276" w:lineRule="auto"/>
        <w:jc w:val="center"/>
        <w:rPr>
          <w:rFonts w:cs="Calibri"/>
          <w:b/>
          <w:bCs/>
          <w:sz w:val="28"/>
          <w:szCs w:val="28"/>
        </w:rPr>
      </w:pPr>
      <w:r w:rsidRPr="6100511F">
        <w:rPr>
          <w:rFonts w:eastAsia="Calibri" w:cs="Calibri"/>
          <w:b/>
          <w:bCs/>
        </w:rPr>
        <w:t>Technical feasibility review: 21 October 2026</w:t>
      </w:r>
    </w:p>
    <w:p w14:paraId="367B7C78" w14:textId="77777777" w:rsidR="6100511F" w:rsidRDefault="6100511F" w:rsidP="6100511F">
      <w:pPr>
        <w:spacing w:line="276" w:lineRule="auto"/>
        <w:jc w:val="center"/>
        <w:rPr>
          <w:rFonts w:eastAsia="Calibri" w:cs="Calibri"/>
        </w:rPr>
      </w:pPr>
    </w:p>
    <w:p w14:paraId="3A62C58F" w14:textId="77777777" w:rsidR="6100511F" w:rsidRDefault="6100511F" w:rsidP="6100511F">
      <w:pPr>
        <w:spacing w:line="276" w:lineRule="auto"/>
        <w:jc w:val="center"/>
        <w:rPr>
          <w:rFonts w:eastAsia="Calibri" w:cs="Calibri"/>
        </w:rPr>
      </w:pPr>
    </w:p>
    <w:p w14:paraId="7A41E11A" w14:textId="77777777" w:rsidR="6100511F" w:rsidRDefault="6100511F" w:rsidP="6100511F">
      <w:pPr>
        <w:spacing w:line="276" w:lineRule="auto"/>
        <w:jc w:val="center"/>
        <w:rPr>
          <w:rFonts w:eastAsia="Calibri" w:cs="Calibri"/>
        </w:rPr>
      </w:pPr>
    </w:p>
    <w:p w14:paraId="4C65A0B3" w14:textId="77777777" w:rsidR="002038FF" w:rsidRDefault="002038FF" w:rsidP="6100511F">
      <w:pPr>
        <w:spacing w:line="276" w:lineRule="auto"/>
        <w:jc w:val="left"/>
        <w:rPr>
          <w:rFonts w:eastAsia="Calibri" w:cs="Calibri"/>
        </w:rPr>
      </w:pPr>
    </w:p>
    <w:p w14:paraId="71D2CF69" w14:textId="77777777" w:rsidR="422CDCB3" w:rsidRDefault="422CDCB3" w:rsidP="61CE887F">
      <w:pPr>
        <w:spacing w:line="276" w:lineRule="auto"/>
        <w:jc w:val="left"/>
        <w:rPr>
          <w:rFonts w:eastAsia="Calibri" w:cs="Calibri"/>
        </w:rPr>
      </w:pPr>
    </w:p>
    <w:p w14:paraId="3F6BEDEC" w14:textId="77777777" w:rsidR="002038FF" w:rsidRDefault="002038FF" w:rsidP="6100511F">
      <w:pPr>
        <w:spacing w:line="276" w:lineRule="auto"/>
        <w:jc w:val="left"/>
        <w:rPr>
          <w:rFonts w:eastAsia="Calibri" w:cs="Calibri"/>
        </w:rPr>
        <w:sectPr w:rsidR="002038FF" w:rsidSect="00001B40">
          <w:headerReference w:type="default" r:id="rId14"/>
          <w:footerReference w:type="default" r:id="rId15"/>
          <w:headerReference w:type="first" r:id="rId16"/>
          <w:footerReference w:type="first" r:id="rId17"/>
          <w:pgSz w:w="11906" w:h="16838"/>
          <w:pgMar w:top="1440" w:right="1797" w:bottom="1440" w:left="1797" w:header="720" w:footer="720" w:gutter="0"/>
          <w:pgBorders w:offsetFrom="page">
            <w:bottom w:val="single" w:sz="8" w:space="24" w:color="000000"/>
          </w:pgBorders>
          <w:pgNumType w:fmt="lowerRoman" w:start="1"/>
          <w:cols w:space="720"/>
          <w:titlePg/>
          <w:docGrid w:linePitch="360"/>
        </w:sectPr>
      </w:pPr>
    </w:p>
    <w:p w14:paraId="2A935D76" w14:textId="77777777" w:rsidR="006A45BD" w:rsidRDefault="00D920B7">
      <w:pPr>
        <w:spacing w:after="140" w:line="276" w:lineRule="auto"/>
        <w:jc w:val="left"/>
      </w:pPr>
      <w:r>
        <w:rPr>
          <w:b/>
          <w:color w:val="0F4761"/>
          <w:sz w:val="32"/>
        </w:rPr>
        <w:lastRenderedPageBreak/>
        <w:t>Contents</w:t>
      </w:r>
    </w:p>
    <w:p w14:paraId="12CA2963" w14:textId="5D9D6D50" w:rsidR="00D920B7" w:rsidRDefault="00D920B7">
      <w:pPr>
        <w:pStyle w:val="TDC3"/>
        <w:tabs>
          <w:tab w:val="right" w:leader="dot" w:pos="8302"/>
        </w:tabs>
        <w:rPr>
          <w:rFonts w:asciiTheme="minorHAnsi" w:eastAsiaTheme="minorEastAsia" w:hAnsiTheme="minorHAnsi"/>
          <w:noProof/>
          <w:sz w:val="22"/>
          <w:szCs w:val="22"/>
          <w:lang w:val="es-ES" w:eastAsia="es-ES"/>
        </w:rPr>
      </w:pPr>
      <w:r>
        <w:fldChar w:fldCharType="begin"/>
      </w:r>
      <w:r>
        <w:instrText xml:space="preserve"> TOC \o "3-3" \h \z </w:instrText>
      </w:r>
      <w:r>
        <w:fldChar w:fldCharType="separate"/>
      </w:r>
      <w:hyperlink w:anchor="_Toc243473381" w:history="1">
        <w:r w:rsidRPr="00AA40D1">
          <w:rPr>
            <w:rStyle w:val="Hipervnculo"/>
            <w:noProof/>
          </w:rPr>
          <w:t>1 Recommended Integration Strategy</w:t>
        </w:r>
        <w:r>
          <w:rPr>
            <w:noProof/>
            <w:webHidden/>
          </w:rPr>
          <w:tab/>
        </w:r>
        <w:r>
          <w:rPr>
            <w:noProof/>
            <w:webHidden/>
          </w:rPr>
          <w:fldChar w:fldCharType="begin"/>
        </w:r>
        <w:r>
          <w:rPr>
            <w:noProof/>
            <w:webHidden/>
          </w:rPr>
          <w:instrText xml:space="preserve"> PAGEREF _Toc243473381 \h </w:instrText>
        </w:r>
        <w:r>
          <w:rPr>
            <w:noProof/>
            <w:webHidden/>
          </w:rPr>
        </w:r>
        <w:r>
          <w:rPr>
            <w:noProof/>
            <w:webHidden/>
          </w:rPr>
          <w:fldChar w:fldCharType="separate"/>
        </w:r>
        <w:r>
          <w:rPr>
            <w:noProof/>
            <w:webHidden/>
          </w:rPr>
          <w:t>1</w:t>
        </w:r>
        <w:r>
          <w:rPr>
            <w:noProof/>
            <w:webHidden/>
          </w:rPr>
          <w:fldChar w:fldCharType="end"/>
        </w:r>
      </w:hyperlink>
    </w:p>
    <w:p w14:paraId="70A267FE" w14:textId="32C1978C" w:rsidR="00D920B7" w:rsidRDefault="00D920B7">
      <w:pPr>
        <w:pStyle w:val="TDC3"/>
        <w:tabs>
          <w:tab w:val="right" w:leader="dot" w:pos="8302"/>
        </w:tabs>
        <w:rPr>
          <w:rFonts w:asciiTheme="minorHAnsi" w:eastAsiaTheme="minorEastAsia" w:hAnsiTheme="minorHAnsi"/>
          <w:noProof/>
          <w:sz w:val="22"/>
          <w:szCs w:val="22"/>
          <w:lang w:val="es-ES" w:eastAsia="es-ES"/>
        </w:rPr>
      </w:pPr>
      <w:hyperlink w:anchor="_Toc243473382" w:history="1">
        <w:r w:rsidRPr="00AA40D1">
          <w:rPr>
            <w:rStyle w:val="Hipervnculo"/>
            <w:noProof/>
          </w:rPr>
          <w:t>2 Agreement and Monitoring Terminology</w:t>
        </w:r>
        <w:r>
          <w:rPr>
            <w:noProof/>
            <w:webHidden/>
          </w:rPr>
          <w:tab/>
        </w:r>
        <w:r>
          <w:rPr>
            <w:noProof/>
            <w:webHidden/>
          </w:rPr>
          <w:fldChar w:fldCharType="begin"/>
        </w:r>
        <w:r>
          <w:rPr>
            <w:noProof/>
            <w:webHidden/>
          </w:rPr>
          <w:instrText xml:space="preserve"> PAGEREF _Toc243473382 \h </w:instrText>
        </w:r>
        <w:r>
          <w:rPr>
            <w:noProof/>
            <w:webHidden/>
          </w:rPr>
        </w:r>
        <w:r>
          <w:rPr>
            <w:noProof/>
            <w:webHidden/>
          </w:rPr>
          <w:fldChar w:fldCharType="separate"/>
        </w:r>
        <w:r>
          <w:rPr>
            <w:noProof/>
            <w:webHidden/>
          </w:rPr>
          <w:t>2</w:t>
        </w:r>
        <w:r>
          <w:rPr>
            <w:noProof/>
            <w:webHidden/>
          </w:rPr>
          <w:fldChar w:fldCharType="end"/>
        </w:r>
      </w:hyperlink>
    </w:p>
    <w:p w14:paraId="217C81D9" w14:textId="09759F75" w:rsidR="00D920B7" w:rsidRDefault="00D920B7">
      <w:pPr>
        <w:pStyle w:val="TDC3"/>
        <w:tabs>
          <w:tab w:val="right" w:leader="dot" w:pos="8302"/>
        </w:tabs>
        <w:rPr>
          <w:rFonts w:asciiTheme="minorHAnsi" w:eastAsiaTheme="minorEastAsia" w:hAnsiTheme="minorHAnsi"/>
          <w:noProof/>
          <w:sz w:val="22"/>
          <w:szCs w:val="22"/>
          <w:lang w:val="es-ES" w:eastAsia="es-ES"/>
        </w:rPr>
      </w:pPr>
      <w:hyperlink w:anchor="_Toc243473383" w:history="1">
        <w:r w:rsidRPr="00AA40D1">
          <w:rPr>
            <w:rStyle w:val="Hipervnculo"/>
            <w:noProof/>
          </w:rPr>
          <w:t>3 Structured Data and Measurement Readiness</w:t>
        </w:r>
        <w:r>
          <w:rPr>
            <w:noProof/>
            <w:webHidden/>
          </w:rPr>
          <w:tab/>
        </w:r>
        <w:r>
          <w:rPr>
            <w:noProof/>
            <w:webHidden/>
          </w:rPr>
          <w:fldChar w:fldCharType="begin"/>
        </w:r>
        <w:r>
          <w:rPr>
            <w:noProof/>
            <w:webHidden/>
          </w:rPr>
          <w:instrText xml:space="preserve"> PAGEREF _Toc243473383 \h </w:instrText>
        </w:r>
        <w:r>
          <w:rPr>
            <w:noProof/>
            <w:webHidden/>
          </w:rPr>
        </w:r>
        <w:r>
          <w:rPr>
            <w:noProof/>
            <w:webHidden/>
          </w:rPr>
          <w:fldChar w:fldCharType="separate"/>
        </w:r>
        <w:r>
          <w:rPr>
            <w:noProof/>
            <w:webHidden/>
          </w:rPr>
          <w:t>3</w:t>
        </w:r>
        <w:r>
          <w:rPr>
            <w:noProof/>
            <w:webHidden/>
          </w:rPr>
          <w:fldChar w:fldCharType="end"/>
        </w:r>
      </w:hyperlink>
    </w:p>
    <w:p w14:paraId="408E1E00" w14:textId="4797DCE2" w:rsidR="00D920B7" w:rsidRDefault="00D920B7">
      <w:pPr>
        <w:pStyle w:val="TDC3"/>
        <w:tabs>
          <w:tab w:val="right" w:leader="dot" w:pos="8302"/>
        </w:tabs>
        <w:rPr>
          <w:rFonts w:asciiTheme="minorHAnsi" w:eastAsiaTheme="minorEastAsia" w:hAnsiTheme="minorHAnsi"/>
          <w:noProof/>
          <w:sz w:val="22"/>
          <w:szCs w:val="22"/>
          <w:lang w:val="es-ES" w:eastAsia="es-ES"/>
        </w:rPr>
      </w:pPr>
      <w:hyperlink w:anchor="_Toc243473384" w:history="1">
        <w:r w:rsidRPr="00AA40D1">
          <w:rPr>
            <w:rStyle w:val="Hipervnculo"/>
            <w:noProof/>
          </w:rPr>
          <w:t>4 Analytics and Reusable Components</w:t>
        </w:r>
        <w:r>
          <w:rPr>
            <w:noProof/>
            <w:webHidden/>
          </w:rPr>
          <w:tab/>
        </w:r>
        <w:r>
          <w:rPr>
            <w:noProof/>
            <w:webHidden/>
          </w:rPr>
          <w:fldChar w:fldCharType="begin"/>
        </w:r>
        <w:r>
          <w:rPr>
            <w:noProof/>
            <w:webHidden/>
          </w:rPr>
          <w:instrText xml:space="preserve"> PAGEREF _Toc243473384 \h </w:instrText>
        </w:r>
        <w:r>
          <w:rPr>
            <w:noProof/>
            <w:webHidden/>
          </w:rPr>
        </w:r>
        <w:r>
          <w:rPr>
            <w:noProof/>
            <w:webHidden/>
          </w:rPr>
          <w:fldChar w:fldCharType="separate"/>
        </w:r>
        <w:r>
          <w:rPr>
            <w:noProof/>
            <w:webHidden/>
          </w:rPr>
          <w:t>4</w:t>
        </w:r>
        <w:r>
          <w:rPr>
            <w:noProof/>
            <w:webHidden/>
          </w:rPr>
          <w:fldChar w:fldCharType="end"/>
        </w:r>
      </w:hyperlink>
    </w:p>
    <w:p w14:paraId="2721BA5F" w14:textId="6E1C3920" w:rsidR="00D920B7" w:rsidRDefault="00D920B7">
      <w:pPr>
        <w:pStyle w:val="TDC3"/>
        <w:tabs>
          <w:tab w:val="right" w:leader="dot" w:pos="8302"/>
        </w:tabs>
        <w:rPr>
          <w:rFonts w:asciiTheme="minorHAnsi" w:eastAsiaTheme="minorEastAsia" w:hAnsiTheme="minorHAnsi"/>
          <w:noProof/>
          <w:sz w:val="22"/>
          <w:szCs w:val="22"/>
          <w:lang w:val="es-ES" w:eastAsia="es-ES"/>
        </w:rPr>
      </w:pPr>
      <w:hyperlink w:anchor="_Toc243473385" w:history="1">
        <w:r w:rsidRPr="00AA40D1">
          <w:rPr>
            <w:rStyle w:val="Hipervnculo"/>
            <w:noProof/>
          </w:rPr>
          <w:t>5 Internal Endpoints and Missing Integration</w:t>
        </w:r>
        <w:r>
          <w:rPr>
            <w:noProof/>
            <w:webHidden/>
          </w:rPr>
          <w:tab/>
        </w:r>
        <w:r>
          <w:rPr>
            <w:noProof/>
            <w:webHidden/>
          </w:rPr>
          <w:fldChar w:fldCharType="begin"/>
        </w:r>
        <w:r>
          <w:rPr>
            <w:noProof/>
            <w:webHidden/>
          </w:rPr>
          <w:instrText xml:space="preserve"> PAGEREF _Toc243473385 \h </w:instrText>
        </w:r>
        <w:r>
          <w:rPr>
            <w:noProof/>
            <w:webHidden/>
          </w:rPr>
        </w:r>
        <w:r>
          <w:rPr>
            <w:noProof/>
            <w:webHidden/>
          </w:rPr>
          <w:fldChar w:fldCharType="separate"/>
        </w:r>
        <w:r>
          <w:rPr>
            <w:noProof/>
            <w:webHidden/>
          </w:rPr>
          <w:t>5</w:t>
        </w:r>
        <w:r>
          <w:rPr>
            <w:noProof/>
            <w:webHidden/>
          </w:rPr>
          <w:fldChar w:fldCharType="end"/>
        </w:r>
      </w:hyperlink>
    </w:p>
    <w:p w14:paraId="53F79638" w14:textId="6BAD8C93" w:rsidR="00D920B7" w:rsidRDefault="00D920B7">
      <w:pPr>
        <w:pStyle w:val="TDC3"/>
        <w:tabs>
          <w:tab w:val="right" w:leader="dot" w:pos="8302"/>
        </w:tabs>
        <w:rPr>
          <w:rFonts w:asciiTheme="minorHAnsi" w:eastAsiaTheme="minorEastAsia" w:hAnsiTheme="minorHAnsi"/>
          <w:noProof/>
          <w:sz w:val="22"/>
          <w:szCs w:val="22"/>
          <w:lang w:val="es-ES" w:eastAsia="es-ES"/>
        </w:rPr>
      </w:pPr>
      <w:hyperlink w:anchor="_Toc243473386" w:history="1">
        <w:r w:rsidRPr="00AA40D1">
          <w:rPr>
            <w:rStyle w:val="Hipervnculo"/>
            <w:noProof/>
          </w:rPr>
          <w:t>6 Minimal Hybrid Architecture</w:t>
        </w:r>
        <w:r>
          <w:rPr>
            <w:noProof/>
            <w:webHidden/>
          </w:rPr>
          <w:tab/>
        </w:r>
        <w:r>
          <w:rPr>
            <w:noProof/>
            <w:webHidden/>
          </w:rPr>
          <w:fldChar w:fldCharType="begin"/>
        </w:r>
        <w:r>
          <w:rPr>
            <w:noProof/>
            <w:webHidden/>
          </w:rPr>
          <w:instrText xml:space="preserve"> PAGEREF _Toc243473386 \h </w:instrText>
        </w:r>
        <w:r>
          <w:rPr>
            <w:noProof/>
            <w:webHidden/>
          </w:rPr>
        </w:r>
        <w:r>
          <w:rPr>
            <w:noProof/>
            <w:webHidden/>
          </w:rPr>
          <w:fldChar w:fldCharType="separate"/>
        </w:r>
        <w:r>
          <w:rPr>
            <w:noProof/>
            <w:webHidden/>
          </w:rPr>
          <w:t>6</w:t>
        </w:r>
        <w:r>
          <w:rPr>
            <w:noProof/>
            <w:webHidden/>
          </w:rPr>
          <w:fldChar w:fldCharType="end"/>
        </w:r>
      </w:hyperlink>
    </w:p>
    <w:p w14:paraId="5C4AB5AA" w14:textId="6C48B07C" w:rsidR="00D920B7" w:rsidRDefault="00D920B7">
      <w:pPr>
        <w:pStyle w:val="TDC3"/>
        <w:tabs>
          <w:tab w:val="right" w:leader="dot" w:pos="8302"/>
        </w:tabs>
        <w:rPr>
          <w:rFonts w:asciiTheme="minorHAnsi" w:eastAsiaTheme="minorEastAsia" w:hAnsiTheme="minorHAnsi"/>
          <w:noProof/>
          <w:sz w:val="22"/>
          <w:szCs w:val="22"/>
          <w:lang w:val="es-ES" w:eastAsia="es-ES"/>
        </w:rPr>
      </w:pPr>
      <w:hyperlink w:anchor="_Toc243473387" w:history="1">
        <w:r w:rsidRPr="00AA40D1">
          <w:rPr>
            <w:rStyle w:val="Hipervnculo"/>
            <w:noProof/>
          </w:rPr>
          <w:t>7 Safeguards and Implementation Gates</w:t>
        </w:r>
        <w:r>
          <w:rPr>
            <w:noProof/>
            <w:webHidden/>
          </w:rPr>
          <w:tab/>
        </w:r>
        <w:r>
          <w:rPr>
            <w:noProof/>
            <w:webHidden/>
          </w:rPr>
          <w:fldChar w:fldCharType="begin"/>
        </w:r>
        <w:r>
          <w:rPr>
            <w:noProof/>
            <w:webHidden/>
          </w:rPr>
          <w:instrText xml:space="preserve"> PAGEREF _Toc243473387 \h </w:instrText>
        </w:r>
        <w:r>
          <w:rPr>
            <w:noProof/>
            <w:webHidden/>
          </w:rPr>
        </w:r>
        <w:r>
          <w:rPr>
            <w:noProof/>
            <w:webHidden/>
          </w:rPr>
          <w:fldChar w:fldCharType="separate"/>
        </w:r>
        <w:r>
          <w:rPr>
            <w:noProof/>
            <w:webHidden/>
          </w:rPr>
          <w:t>8</w:t>
        </w:r>
        <w:r>
          <w:rPr>
            <w:noProof/>
            <w:webHidden/>
          </w:rPr>
          <w:fldChar w:fldCharType="end"/>
        </w:r>
      </w:hyperlink>
    </w:p>
    <w:p w14:paraId="39281400" w14:textId="5438DE5F" w:rsidR="00D920B7" w:rsidRDefault="00D920B7">
      <w:pPr>
        <w:pStyle w:val="TDC3"/>
        <w:tabs>
          <w:tab w:val="right" w:leader="dot" w:pos="8302"/>
        </w:tabs>
        <w:rPr>
          <w:rFonts w:asciiTheme="minorHAnsi" w:eastAsiaTheme="minorEastAsia" w:hAnsiTheme="minorHAnsi"/>
          <w:noProof/>
          <w:sz w:val="22"/>
          <w:szCs w:val="22"/>
          <w:lang w:val="es-ES" w:eastAsia="es-ES"/>
        </w:rPr>
      </w:pPr>
      <w:hyperlink w:anchor="_Toc243473388" w:history="1">
        <w:r w:rsidRPr="00AA40D1">
          <w:rPr>
            <w:rStyle w:val="Hipervnculo"/>
            <w:noProof/>
          </w:rPr>
          <w:t>8 Required Decisions and Corrections to Rev3</w:t>
        </w:r>
        <w:r>
          <w:rPr>
            <w:noProof/>
            <w:webHidden/>
          </w:rPr>
          <w:tab/>
        </w:r>
        <w:r>
          <w:rPr>
            <w:noProof/>
            <w:webHidden/>
          </w:rPr>
          <w:fldChar w:fldCharType="begin"/>
        </w:r>
        <w:r>
          <w:rPr>
            <w:noProof/>
            <w:webHidden/>
          </w:rPr>
          <w:instrText xml:space="preserve"> PAGEREF _Toc243473388 \h </w:instrText>
        </w:r>
        <w:r>
          <w:rPr>
            <w:noProof/>
            <w:webHidden/>
          </w:rPr>
        </w:r>
        <w:r>
          <w:rPr>
            <w:noProof/>
            <w:webHidden/>
          </w:rPr>
          <w:fldChar w:fldCharType="separate"/>
        </w:r>
        <w:r>
          <w:rPr>
            <w:noProof/>
            <w:webHidden/>
          </w:rPr>
          <w:t>9</w:t>
        </w:r>
        <w:r>
          <w:rPr>
            <w:noProof/>
            <w:webHidden/>
          </w:rPr>
          <w:fldChar w:fldCharType="end"/>
        </w:r>
      </w:hyperlink>
    </w:p>
    <w:p w14:paraId="5194044A" w14:textId="170DE5B6" w:rsidR="00D920B7" w:rsidRDefault="00D920B7">
      <w:pPr>
        <w:pStyle w:val="TDC3"/>
        <w:tabs>
          <w:tab w:val="right" w:leader="dot" w:pos="8302"/>
        </w:tabs>
        <w:rPr>
          <w:rFonts w:asciiTheme="minorHAnsi" w:eastAsiaTheme="minorEastAsia" w:hAnsiTheme="minorHAnsi"/>
          <w:noProof/>
          <w:sz w:val="22"/>
          <w:szCs w:val="22"/>
          <w:lang w:val="es-ES" w:eastAsia="es-ES"/>
        </w:rPr>
      </w:pPr>
      <w:hyperlink w:anchor="_Toc243473389" w:history="1">
        <w:r w:rsidRPr="00AA40D1">
          <w:rPr>
            <w:rStyle w:val="Hipervnculo"/>
            <w:noProof/>
          </w:rPr>
          <w:t>9 Sources and Verification Scope</w:t>
        </w:r>
        <w:r>
          <w:rPr>
            <w:noProof/>
            <w:webHidden/>
          </w:rPr>
          <w:tab/>
        </w:r>
        <w:r>
          <w:rPr>
            <w:noProof/>
            <w:webHidden/>
          </w:rPr>
          <w:fldChar w:fldCharType="begin"/>
        </w:r>
        <w:r>
          <w:rPr>
            <w:noProof/>
            <w:webHidden/>
          </w:rPr>
          <w:instrText xml:space="preserve"> PAGEREF _Toc243473389 \h </w:instrText>
        </w:r>
        <w:r>
          <w:rPr>
            <w:noProof/>
            <w:webHidden/>
          </w:rPr>
        </w:r>
        <w:r>
          <w:rPr>
            <w:noProof/>
            <w:webHidden/>
          </w:rPr>
          <w:fldChar w:fldCharType="separate"/>
        </w:r>
        <w:r>
          <w:rPr>
            <w:noProof/>
            <w:webHidden/>
          </w:rPr>
          <w:t>10</w:t>
        </w:r>
        <w:r>
          <w:rPr>
            <w:noProof/>
            <w:webHidden/>
          </w:rPr>
          <w:fldChar w:fldCharType="end"/>
        </w:r>
      </w:hyperlink>
    </w:p>
    <w:p w14:paraId="727552D4" w14:textId="36755EE1" w:rsidR="006A45BD" w:rsidRDefault="00D920B7">
      <w:r>
        <w:fldChar w:fldCharType="end"/>
      </w:r>
    </w:p>
    <w:p w14:paraId="19F77C7D" w14:textId="77777777" w:rsidR="006A45BD" w:rsidRDefault="00D920B7">
      <w:pPr>
        <w:spacing w:after="140" w:line="276" w:lineRule="auto"/>
      </w:pPr>
      <w:r>
        <w:t>Purpose: decide how to implement the agreed Hybrid monitoring method, identify dependencies and specify later corrections to Rev3.</w:t>
      </w:r>
    </w:p>
    <w:p w14:paraId="466F896C" w14:textId="77777777" w:rsidR="006A45BD" w:rsidRDefault="00D920B7">
      <w:pPr>
        <w:spacing w:after="140" w:line="276" w:lineRule="auto"/>
      </w:pPr>
      <w:r>
        <w:t xml:space="preserve">Research and design only. </w:t>
      </w:r>
      <w:r>
        <w:t>Rev3 is preserved. This companion analysis does not implement an integration, approve indicator values or constitute Rev4.</w:t>
      </w:r>
    </w:p>
    <w:p w14:paraId="3FF7CF0C" w14:textId="77777777" w:rsidR="006A45BD" w:rsidRDefault="006A45BD">
      <w:pPr>
        <w:sectPr w:rsidR="006A45BD" w:rsidSect="002038FF">
          <w:headerReference w:type="default" r:id="rId18"/>
          <w:footerReference w:type="default" r:id="rId19"/>
          <w:headerReference w:type="first" r:id="rId20"/>
          <w:footerReference w:type="first" r:id="rId21"/>
          <w:pgSz w:w="11906" w:h="16838"/>
          <w:pgMar w:top="1440" w:right="1797" w:bottom="1440" w:left="1797" w:header="720" w:footer="720" w:gutter="0"/>
          <w:pgBorders w:offsetFrom="page">
            <w:bottom w:val="single" w:sz="8" w:space="24" w:color="000000"/>
          </w:pgBorders>
          <w:pgNumType w:fmt="lowerRoman" w:start="1"/>
          <w:cols w:space="720"/>
          <w:docGrid w:linePitch="360"/>
        </w:sectPr>
      </w:pPr>
    </w:p>
    <w:p w14:paraId="20CEDEE5" w14:textId="77777777" w:rsidR="006A45BD" w:rsidRDefault="00D920B7">
      <w:pPr>
        <w:pStyle w:val="Ttulo3"/>
        <w:spacing w:before="0" w:after="160"/>
      </w:pPr>
      <w:bookmarkStart w:id="0" w:name="_Toc243473381"/>
      <w:r>
        <w:lastRenderedPageBreak/>
        <w:t xml:space="preserve">1 Recommended Integration </w:t>
      </w:r>
      <w:r>
        <w:t>Strategy</w:t>
      </w:r>
      <w:bookmarkEnd w:id="0"/>
    </w:p>
    <w:p w14:paraId="3B49C15F" w14:textId="77777777" w:rsidR="006A45BD" w:rsidRDefault="00D920B7">
      <w:pPr>
        <w:spacing w:after="140" w:line="276" w:lineRule="auto"/>
      </w:pPr>
      <w:r>
        <w:t>Hybrid (AMT + API) is the agreed overall monitoring method. Evenor-Tech reports selecting it on 2 September 2026 at 10:50 and Lasith accepting it at 15:10. The strategy is settled; the allocation of named indicators and the receiver specifications</w:t>
      </w:r>
      <w:r>
        <w:t xml:space="preserve"> are still pending. Rev3 must later be corrected wherever it suggests the general method remains unagreed. [T01-T03]</w:t>
      </w:r>
    </w:p>
    <w:p w14:paraId="178C2C9C" w14:textId="77777777" w:rsidR="006A45BD" w:rsidRDefault="00D920B7">
      <w:pPr>
        <w:spacing w:after="140" w:line="276" w:lineRule="auto"/>
      </w:pPr>
      <w:r>
        <w:t xml:space="preserve">Start with AMT for documentary and externally measured indicators. Prepare INNOV_003 as the first conditional API candidate because ANFORA </w:t>
      </w:r>
      <w:r>
        <w:t xml:space="preserve">already captures structured analytics. Keep INNOV_004 on AMT initially: a footprint simulation engine exists, but valid historical paired comparisons do not. A later API extension is feasible only after a comparison protocol and source dataset exist. This </w:t>
      </w:r>
      <w:r>
        <w:t>is a proposed allocation for agreement with Lasith, not an approved per-code configuration. [T03-T08]</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60"/>
        <w:gridCol w:w="3200"/>
        <w:gridCol w:w="3180"/>
      </w:tblGrid>
      <w:tr w:rsidR="006A45BD" w14:paraId="762A99D5" w14:textId="77777777">
        <w:trPr>
          <w:cantSplit/>
          <w:tblHeader/>
          <w:jc w:val="center"/>
        </w:trPr>
        <w:tc>
          <w:tcPr>
            <w:tcW w:w="1960" w:type="dxa"/>
            <w:shd w:val="clear" w:color="auto" w:fill="156082"/>
            <w:tcMar>
              <w:top w:w="85" w:type="dxa"/>
              <w:left w:w="100" w:type="dxa"/>
              <w:bottom w:w="85" w:type="dxa"/>
              <w:right w:w="100" w:type="dxa"/>
            </w:tcMar>
            <w:vAlign w:val="center"/>
          </w:tcPr>
          <w:p w14:paraId="77982101" w14:textId="77777777" w:rsidR="006A45BD" w:rsidRDefault="00D920B7">
            <w:pPr>
              <w:spacing w:after="0" w:line="240" w:lineRule="auto"/>
              <w:jc w:val="left"/>
            </w:pPr>
            <w:r>
              <w:rPr>
                <w:b/>
                <w:color w:val="FFFFFF"/>
                <w:sz w:val="21"/>
              </w:rPr>
              <w:t>Recommended route</w:t>
            </w:r>
          </w:p>
        </w:tc>
        <w:tc>
          <w:tcPr>
            <w:tcW w:w="3200" w:type="dxa"/>
            <w:shd w:val="clear" w:color="auto" w:fill="156082"/>
            <w:tcMar>
              <w:top w:w="85" w:type="dxa"/>
              <w:left w:w="100" w:type="dxa"/>
              <w:bottom w:w="85" w:type="dxa"/>
              <w:right w:w="100" w:type="dxa"/>
            </w:tcMar>
            <w:vAlign w:val="center"/>
          </w:tcPr>
          <w:p w14:paraId="22371661" w14:textId="77777777" w:rsidR="006A45BD" w:rsidRDefault="00D920B7">
            <w:pPr>
              <w:spacing w:after="0" w:line="240" w:lineRule="auto"/>
              <w:jc w:val="left"/>
            </w:pPr>
            <w:r>
              <w:rPr>
                <w:b/>
                <w:color w:val="FFFFFF"/>
                <w:sz w:val="21"/>
              </w:rPr>
              <w:t>Indicators</w:t>
            </w:r>
          </w:p>
        </w:tc>
        <w:tc>
          <w:tcPr>
            <w:tcW w:w="3180" w:type="dxa"/>
            <w:shd w:val="clear" w:color="auto" w:fill="156082"/>
            <w:tcMar>
              <w:top w:w="85" w:type="dxa"/>
              <w:left w:w="100" w:type="dxa"/>
              <w:bottom w:w="85" w:type="dxa"/>
              <w:right w:w="100" w:type="dxa"/>
            </w:tcMar>
            <w:vAlign w:val="center"/>
          </w:tcPr>
          <w:p w14:paraId="36625A2F" w14:textId="77777777" w:rsidR="006A45BD" w:rsidRDefault="00D920B7">
            <w:pPr>
              <w:spacing w:after="0" w:line="240" w:lineRule="auto"/>
              <w:jc w:val="left"/>
            </w:pPr>
            <w:r>
              <w:rPr>
                <w:b/>
                <w:color w:val="FFFFFF"/>
                <w:sz w:val="21"/>
              </w:rPr>
              <w:t>Readiness</w:t>
            </w:r>
          </w:p>
        </w:tc>
      </w:tr>
      <w:tr w:rsidR="006A45BD" w14:paraId="6ED8E304" w14:textId="77777777">
        <w:trPr>
          <w:cantSplit/>
          <w:jc w:val="center"/>
        </w:trPr>
        <w:tc>
          <w:tcPr>
            <w:tcW w:w="1960" w:type="dxa"/>
            <w:shd w:val="clear" w:color="auto" w:fill="FFFFFF"/>
            <w:tcMar>
              <w:top w:w="85" w:type="dxa"/>
              <w:left w:w="100" w:type="dxa"/>
              <w:bottom w:w="85" w:type="dxa"/>
              <w:right w:w="100" w:type="dxa"/>
            </w:tcMar>
            <w:vAlign w:val="center"/>
          </w:tcPr>
          <w:p w14:paraId="5B5C7BA2" w14:textId="77777777" w:rsidR="006A45BD" w:rsidRDefault="00D920B7">
            <w:pPr>
              <w:spacing w:after="0" w:line="240" w:lineRule="auto"/>
              <w:jc w:val="left"/>
            </w:pPr>
            <w:r>
              <w:rPr>
                <w:color w:val="000000"/>
                <w:sz w:val="21"/>
              </w:rPr>
              <w:t>AMT initially</w:t>
            </w:r>
          </w:p>
        </w:tc>
        <w:tc>
          <w:tcPr>
            <w:tcW w:w="3200" w:type="dxa"/>
            <w:shd w:val="clear" w:color="auto" w:fill="FFFFFF"/>
            <w:tcMar>
              <w:top w:w="85" w:type="dxa"/>
              <w:left w:w="100" w:type="dxa"/>
              <w:bottom w:w="85" w:type="dxa"/>
              <w:right w:w="100" w:type="dxa"/>
            </w:tcMar>
            <w:vAlign w:val="center"/>
          </w:tcPr>
          <w:p w14:paraId="05FFEE6A" w14:textId="77777777" w:rsidR="006A45BD" w:rsidRDefault="00D920B7">
            <w:pPr>
              <w:spacing w:after="0" w:line="240" w:lineRule="auto"/>
              <w:jc w:val="left"/>
            </w:pPr>
            <w:r>
              <w:rPr>
                <w:color w:val="000000"/>
                <w:sz w:val="21"/>
              </w:rPr>
              <w:t>NBS4.20, NBS15.1, NBS24.18, RRTG.SC-01b, INNOV_002, INNOV_004, INNOV_005, INNOV_006</w:t>
            </w:r>
          </w:p>
        </w:tc>
        <w:tc>
          <w:tcPr>
            <w:tcW w:w="3180" w:type="dxa"/>
            <w:shd w:val="clear" w:color="auto" w:fill="FFFFFF"/>
            <w:tcMar>
              <w:top w:w="85" w:type="dxa"/>
              <w:left w:w="100" w:type="dxa"/>
              <w:bottom w:w="85" w:type="dxa"/>
              <w:right w:w="100" w:type="dxa"/>
            </w:tcMar>
            <w:vAlign w:val="center"/>
          </w:tcPr>
          <w:p w14:paraId="466A15F3" w14:textId="77777777" w:rsidR="006A45BD" w:rsidRDefault="00D920B7">
            <w:pPr>
              <w:spacing w:after="0" w:line="240" w:lineRule="auto"/>
              <w:jc w:val="left"/>
            </w:pPr>
            <w:r>
              <w:rPr>
                <w:color w:val="000000"/>
                <w:sz w:val="21"/>
              </w:rPr>
              <w:t xml:space="preserve">Manual </w:t>
            </w:r>
            <w:r>
              <w:rPr>
                <w:color w:val="000000"/>
                <w:sz w:val="21"/>
              </w:rPr>
              <w:t>preparation is feasible. Validity and availability of each result remain separate gates. AMT access not verified.</w:t>
            </w:r>
          </w:p>
        </w:tc>
      </w:tr>
      <w:tr w:rsidR="006A45BD" w14:paraId="094BB3CB" w14:textId="77777777">
        <w:trPr>
          <w:cantSplit/>
          <w:jc w:val="center"/>
        </w:trPr>
        <w:tc>
          <w:tcPr>
            <w:tcW w:w="1960" w:type="dxa"/>
            <w:shd w:val="clear" w:color="auto" w:fill="F2F6F8"/>
            <w:tcMar>
              <w:top w:w="85" w:type="dxa"/>
              <w:left w:w="100" w:type="dxa"/>
              <w:bottom w:w="85" w:type="dxa"/>
              <w:right w:w="100" w:type="dxa"/>
            </w:tcMar>
            <w:vAlign w:val="center"/>
          </w:tcPr>
          <w:p w14:paraId="118A0532" w14:textId="77777777" w:rsidR="006A45BD" w:rsidRDefault="00D920B7">
            <w:pPr>
              <w:spacing w:after="0" w:line="240" w:lineRule="auto"/>
              <w:jc w:val="left"/>
            </w:pPr>
            <w:r>
              <w:rPr>
                <w:color w:val="000000"/>
                <w:sz w:val="21"/>
              </w:rPr>
              <w:t>API implementation target</w:t>
            </w:r>
          </w:p>
        </w:tc>
        <w:tc>
          <w:tcPr>
            <w:tcW w:w="3200" w:type="dxa"/>
            <w:shd w:val="clear" w:color="auto" w:fill="F2F6F8"/>
            <w:tcMar>
              <w:top w:w="85" w:type="dxa"/>
              <w:left w:w="100" w:type="dxa"/>
              <w:bottom w:w="85" w:type="dxa"/>
              <w:right w:w="100" w:type="dxa"/>
            </w:tcMar>
            <w:vAlign w:val="center"/>
          </w:tcPr>
          <w:p w14:paraId="76F602A3" w14:textId="77777777" w:rsidR="006A45BD" w:rsidRDefault="00D920B7">
            <w:pPr>
              <w:spacing w:after="0" w:line="240" w:lineRule="auto"/>
              <w:jc w:val="left"/>
            </w:pPr>
            <w:r>
              <w:rPr>
                <w:color w:val="000000"/>
                <w:sz w:val="21"/>
              </w:rPr>
              <w:t>INNOV_003</w:t>
            </w:r>
          </w:p>
        </w:tc>
        <w:tc>
          <w:tcPr>
            <w:tcW w:w="3180" w:type="dxa"/>
            <w:shd w:val="clear" w:color="auto" w:fill="F2F6F8"/>
            <w:tcMar>
              <w:top w:w="85" w:type="dxa"/>
              <w:left w:w="100" w:type="dxa"/>
              <w:bottom w:w="85" w:type="dxa"/>
              <w:right w:w="100" w:type="dxa"/>
            </w:tcMar>
            <w:vAlign w:val="center"/>
          </w:tcPr>
          <w:p w14:paraId="56D01F40" w14:textId="77777777" w:rsidR="006A45BD" w:rsidRDefault="00D920B7">
            <w:pPr>
              <w:spacing w:after="0" w:line="240" w:lineRule="auto"/>
              <w:jc w:val="left"/>
            </w:pPr>
            <w:r>
              <w:rPr>
                <w:color w:val="000000"/>
                <w:sz w:val="21"/>
              </w:rPr>
              <w:t xml:space="preserve">Existing analytics are usable inputs; no validated external-usage result or RURACTIVE sender is </w:t>
            </w:r>
            <w:r>
              <w:rPr>
                <w:color w:val="000000"/>
                <w:sz w:val="21"/>
              </w:rPr>
              <w:t>ready.</w:t>
            </w:r>
          </w:p>
        </w:tc>
      </w:tr>
      <w:tr w:rsidR="006A45BD" w14:paraId="48743900" w14:textId="77777777">
        <w:trPr>
          <w:cantSplit/>
          <w:jc w:val="center"/>
        </w:trPr>
        <w:tc>
          <w:tcPr>
            <w:tcW w:w="1960" w:type="dxa"/>
            <w:shd w:val="clear" w:color="auto" w:fill="FFFFFF"/>
            <w:tcMar>
              <w:top w:w="85" w:type="dxa"/>
              <w:left w:w="100" w:type="dxa"/>
              <w:bottom w:w="85" w:type="dxa"/>
              <w:right w:w="100" w:type="dxa"/>
            </w:tcMar>
            <w:vAlign w:val="center"/>
          </w:tcPr>
          <w:p w14:paraId="383D288C" w14:textId="77777777" w:rsidR="006A45BD" w:rsidRDefault="00D920B7">
            <w:pPr>
              <w:spacing w:after="0" w:line="240" w:lineRule="auto"/>
              <w:jc w:val="left"/>
            </w:pPr>
            <w:r>
              <w:rPr>
                <w:color w:val="000000"/>
                <w:sz w:val="21"/>
              </w:rPr>
              <w:t>Possible later API extension</w:t>
            </w:r>
          </w:p>
        </w:tc>
        <w:tc>
          <w:tcPr>
            <w:tcW w:w="3200" w:type="dxa"/>
            <w:shd w:val="clear" w:color="auto" w:fill="FFFFFF"/>
            <w:tcMar>
              <w:top w:w="85" w:type="dxa"/>
              <w:left w:w="100" w:type="dxa"/>
              <w:bottom w:w="85" w:type="dxa"/>
              <w:right w:w="100" w:type="dxa"/>
            </w:tcMar>
            <w:vAlign w:val="center"/>
          </w:tcPr>
          <w:p w14:paraId="1D49465F" w14:textId="77777777" w:rsidR="006A45BD" w:rsidRDefault="00D920B7">
            <w:pPr>
              <w:spacing w:after="0" w:line="240" w:lineRule="auto"/>
              <w:jc w:val="left"/>
            </w:pPr>
            <w:r>
              <w:rPr>
                <w:color w:val="000000"/>
                <w:sz w:val="21"/>
              </w:rPr>
              <w:t>INNOV_004</w:t>
            </w:r>
          </w:p>
        </w:tc>
        <w:tc>
          <w:tcPr>
            <w:tcW w:w="3180" w:type="dxa"/>
            <w:shd w:val="clear" w:color="auto" w:fill="FFFFFF"/>
            <w:tcMar>
              <w:top w:w="85" w:type="dxa"/>
              <w:left w:w="100" w:type="dxa"/>
              <w:bottom w:w="85" w:type="dxa"/>
              <w:right w:w="100" w:type="dxa"/>
            </w:tcMar>
            <w:vAlign w:val="center"/>
          </w:tcPr>
          <w:p w14:paraId="1F1D773E" w14:textId="77777777" w:rsidR="006A45BD" w:rsidRDefault="00D920B7">
            <w:pPr>
              <w:spacing w:after="0" w:line="240" w:lineRule="auto"/>
              <w:jc w:val="left"/>
            </w:pPr>
            <w:r>
              <w:rPr>
                <w:color w:val="000000"/>
                <w:sz w:val="21"/>
              </w:rPr>
              <w:t>Requires dated valid pairs and approved aggregation before transport automation is useful.</w:t>
            </w:r>
          </w:p>
        </w:tc>
      </w:tr>
    </w:tbl>
    <w:p w14:paraId="2DBB86AC" w14:textId="77777777" w:rsidR="006A45BD" w:rsidRDefault="00D920B7">
      <w:pPr>
        <w:pStyle w:val="Descripcin"/>
        <w:spacing w:before="80" w:after="160"/>
      </w:pPr>
      <w:r>
        <w:t>Table 1. Proposed allocation within the already accepted Hybrid method.</w:t>
      </w:r>
    </w:p>
    <w:p w14:paraId="0E2A4DE1" w14:textId="77777777" w:rsidR="006A45BD" w:rsidRDefault="00D920B7">
      <w:pPr>
        <w:spacing w:after="140" w:line="276" w:lineRule="auto"/>
      </w:pPr>
      <w:r>
        <w:t xml:space="preserve">No official indicator can currently be </w:t>
      </w:r>
      <w:r>
        <w:t>calculated and submitted automatically end to end from the inspected local application. Technical capability, a reportable observation and an operational receiving contract are separate requirements. Neither the quantitative nature of a value nor the exist</w:t>
      </w:r>
      <w:r>
        <w:t>ence of ANFORA’s own API establishes readiness for RURACTIVE. [T03-T06, T10]</w:t>
      </w:r>
    </w:p>
    <w:p w14:paraId="07FA589B" w14:textId="77777777" w:rsidR="006A45BD" w:rsidRDefault="00D920B7">
      <w:pPr>
        <w:spacing w:after="140" w:line="276" w:lineRule="auto"/>
      </w:pPr>
      <w:r>
        <w:t>Three March-August zeros remain internal declarations: persons trained, eligible citizen participants and attributable new jobs. The job declaration covers six months, not the def</w:t>
      </w:r>
      <w:r>
        <w:t>initive annual outcome. The other six official numeric results remain unavailable. PostHog’s 1 identity, 4 Pageview sessions and 39 pageviews are retained as internal tests, not external adoption; the two anonymous MongoDB calculations remain separately un</w:t>
      </w:r>
      <w:r>
        <w:t>classified. [T03, T07, T08]</w:t>
      </w:r>
    </w:p>
    <w:p w14:paraId="2A25D7B3" w14:textId="77777777" w:rsidR="006A45BD" w:rsidRDefault="00D920B7">
      <w:pPr>
        <w:pStyle w:val="Ttulo3"/>
        <w:pageBreakBefore/>
        <w:spacing w:before="0" w:after="160"/>
      </w:pPr>
      <w:bookmarkStart w:id="1" w:name="_Toc243473382"/>
      <w:r>
        <w:lastRenderedPageBreak/>
        <w:t>2 Agreement and Monitoring Terminology</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80"/>
        <w:gridCol w:w="3700"/>
        <w:gridCol w:w="2960"/>
      </w:tblGrid>
      <w:tr w:rsidR="006A45BD" w14:paraId="603A9D6C" w14:textId="77777777">
        <w:trPr>
          <w:cantSplit/>
          <w:tblHeader/>
          <w:jc w:val="center"/>
        </w:trPr>
        <w:tc>
          <w:tcPr>
            <w:tcW w:w="1680" w:type="dxa"/>
            <w:shd w:val="clear" w:color="auto" w:fill="156082"/>
            <w:tcMar>
              <w:top w:w="85" w:type="dxa"/>
              <w:left w:w="100" w:type="dxa"/>
              <w:bottom w:w="85" w:type="dxa"/>
              <w:right w:w="100" w:type="dxa"/>
            </w:tcMar>
            <w:vAlign w:val="center"/>
          </w:tcPr>
          <w:p w14:paraId="08D0BA02" w14:textId="77777777" w:rsidR="006A45BD" w:rsidRDefault="00D920B7">
            <w:pPr>
              <w:spacing w:after="0" w:line="240" w:lineRule="auto"/>
              <w:jc w:val="left"/>
            </w:pPr>
            <w:r>
              <w:rPr>
                <w:b/>
                <w:color w:val="FFFFFF"/>
                <w:sz w:val="21"/>
              </w:rPr>
              <w:t>Date or passage</w:t>
            </w:r>
          </w:p>
        </w:tc>
        <w:tc>
          <w:tcPr>
            <w:tcW w:w="3700" w:type="dxa"/>
            <w:shd w:val="clear" w:color="auto" w:fill="156082"/>
            <w:tcMar>
              <w:top w:w="85" w:type="dxa"/>
              <w:left w:w="100" w:type="dxa"/>
              <w:bottom w:w="85" w:type="dxa"/>
              <w:right w:w="100" w:type="dxa"/>
            </w:tcMar>
            <w:vAlign w:val="center"/>
          </w:tcPr>
          <w:p w14:paraId="4A7C993F" w14:textId="77777777" w:rsidR="006A45BD" w:rsidRDefault="00D920B7">
            <w:pPr>
              <w:spacing w:after="0" w:line="240" w:lineRule="auto"/>
              <w:jc w:val="left"/>
            </w:pPr>
            <w:r>
              <w:rPr>
                <w:b/>
                <w:color w:val="FFFFFF"/>
                <w:sz w:val="21"/>
              </w:rPr>
              <w:t>Evidence supplied</w:t>
            </w:r>
          </w:p>
        </w:tc>
        <w:tc>
          <w:tcPr>
            <w:tcW w:w="2960" w:type="dxa"/>
            <w:shd w:val="clear" w:color="auto" w:fill="156082"/>
            <w:tcMar>
              <w:top w:w="85" w:type="dxa"/>
              <w:left w:w="100" w:type="dxa"/>
              <w:bottom w:w="85" w:type="dxa"/>
              <w:right w:w="100" w:type="dxa"/>
            </w:tcMar>
            <w:vAlign w:val="center"/>
          </w:tcPr>
          <w:p w14:paraId="290FDA68" w14:textId="77777777" w:rsidR="006A45BD" w:rsidRDefault="00D920B7">
            <w:pPr>
              <w:spacing w:after="0" w:line="240" w:lineRule="auto"/>
              <w:jc w:val="left"/>
            </w:pPr>
            <w:r>
              <w:rPr>
                <w:b/>
                <w:color w:val="FFFFFF"/>
                <w:sz w:val="21"/>
              </w:rPr>
              <w:t>Consequence</w:t>
            </w:r>
          </w:p>
        </w:tc>
      </w:tr>
      <w:tr w:rsidR="006A45BD" w14:paraId="3F6A1DD8" w14:textId="77777777">
        <w:trPr>
          <w:cantSplit/>
          <w:jc w:val="center"/>
        </w:trPr>
        <w:tc>
          <w:tcPr>
            <w:tcW w:w="1680" w:type="dxa"/>
            <w:shd w:val="clear" w:color="auto" w:fill="FFFFFF"/>
            <w:tcMar>
              <w:top w:w="85" w:type="dxa"/>
              <w:left w:w="100" w:type="dxa"/>
              <w:bottom w:w="85" w:type="dxa"/>
              <w:right w:w="100" w:type="dxa"/>
            </w:tcMar>
            <w:vAlign w:val="center"/>
          </w:tcPr>
          <w:p w14:paraId="43B629AD" w14:textId="77777777" w:rsidR="006A45BD" w:rsidRDefault="00D920B7">
            <w:pPr>
              <w:spacing w:after="0" w:line="240" w:lineRule="auto"/>
              <w:jc w:val="left"/>
            </w:pPr>
            <w:r>
              <w:rPr>
                <w:color w:val="000000"/>
                <w:sz w:val="21"/>
              </w:rPr>
              <w:t>1 September 2026</w:t>
            </w:r>
          </w:p>
        </w:tc>
        <w:tc>
          <w:tcPr>
            <w:tcW w:w="3700" w:type="dxa"/>
            <w:shd w:val="clear" w:color="auto" w:fill="FFFFFF"/>
            <w:tcMar>
              <w:top w:w="85" w:type="dxa"/>
              <w:left w:w="100" w:type="dxa"/>
              <w:bottom w:w="85" w:type="dxa"/>
              <w:right w:w="100" w:type="dxa"/>
            </w:tcMar>
            <w:vAlign w:val="center"/>
          </w:tcPr>
          <w:p w14:paraId="3E69ABD6" w14:textId="77777777" w:rsidR="006A45BD" w:rsidRDefault="00D920B7">
            <w:pPr>
              <w:spacing w:after="0" w:line="240" w:lineRule="auto"/>
              <w:jc w:val="left"/>
            </w:pPr>
            <w:r>
              <w:rPr>
                <w:color w:val="000000"/>
                <w:sz w:val="21"/>
              </w:rPr>
              <w:t xml:space="preserve">Lasith offers AMT, API and Hybrid in the email titled Confirmation Required: RURACTIVE Monitoring Data Collection </w:t>
            </w:r>
            <w:r>
              <w:rPr>
                <w:color w:val="000000"/>
                <w:sz w:val="21"/>
              </w:rPr>
              <w:t>Method.</w:t>
            </w:r>
          </w:p>
        </w:tc>
        <w:tc>
          <w:tcPr>
            <w:tcW w:w="2960" w:type="dxa"/>
            <w:shd w:val="clear" w:color="auto" w:fill="FFFFFF"/>
            <w:tcMar>
              <w:top w:w="85" w:type="dxa"/>
              <w:left w:w="100" w:type="dxa"/>
              <w:bottom w:w="85" w:type="dxa"/>
              <w:right w:w="100" w:type="dxa"/>
            </w:tcMar>
            <w:vAlign w:val="center"/>
          </w:tcPr>
          <w:p w14:paraId="76F21059" w14:textId="77777777" w:rsidR="006A45BD" w:rsidRDefault="00D920B7">
            <w:pPr>
              <w:spacing w:after="0" w:line="240" w:lineRule="auto"/>
              <w:jc w:val="left"/>
            </w:pPr>
            <w:r>
              <w:rPr>
                <w:color w:val="000000"/>
                <w:sz w:val="21"/>
              </w:rPr>
              <w:t>AMT is manual entry; API is automated delivery to the monitoring system.</w:t>
            </w:r>
          </w:p>
        </w:tc>
      </w:tr>
      <w:tr w:rsidR="006A45BD" w14:paraId="0B899D06" w14:textId="77777777">
        <w:trPr>
          <w:cantSplit/>
          <w:jc w:val="center"/>
        </w:trPr>
        <w:tc>
          <w:tcPr>
            <w:tcW w:w="1680" w:type="dxa"/>
            <w:shd w:val="clear" w:color="auto" w:fill="F2F6F8"/>
            <w:tcMar>
              <w:top w:w="85" w:type="dxa"/>
              <w:left w:w="100" w:type="dxa"/>
              <w:bottom w:w="85" w:type="dxa"/>
              <w:right w:w="100" w:type="dxa"/>
            </w:tcMar>
            <w:vAlign w:val="center"/>
          </w:tcPr>
          <w:p w14:paraId="6507B684" w14:textId="77777777" w:rsidR="006A45BD" w:rsidRDefault="00D920B7">
            <w:pPr>
              <w:spacing w:after="0" w:line="240" w:lineRule="auto"/>
              <w:jc w:val="left"/>
            </w:pPr>
            <w:r>
              <w:rPr>
                <w:color w:val="000000"/>
                <w:sz w:val="21"/>
              </w:rPr>
              <w:t>2 September, 10:50</w:t>
            </w:r>
          </w:p>
        </w:tc>
        <w:tc>
          <w:tcPr>
            <w:tcW w:w="3700" w:type="dxa"/>
            <w:shd w:val="clear" w:color="auto" w:fill="F2F6F8"/>
            <w:tcMar>
              <w:top w:w="85" w:type="dxa"/>
              <w:left w:w="100" w:type="dxa"/>
              <w:bottom w:w="85" w:type="dxa"/>
              <w:right w:w="100" w:type="dxa"/>
            </w:tcMar>
            <w:vAlign w:val="center"/>
          </w:tcPr>
          <w:p w14:paraId="73F1D7FE" w14:textId="77777777" w:rsidR="006A45BD" w:rsidRDefault="00D920B7">
            <w:pPr>
              <w:spacing w:after="0" w:line="240" w:lineRule="auto"/>
              <w:jc w:val="left"/>
            </w:pPr>
            <w:r>
              <w:rPr>
                <w:color w:val="000000"/>
                <w:sz w:val="21"/>
              </w:rPr>
              <w:t>Evenor-Tech selects Hybrid: manual indicators first, selected structured indicators through API once requirements are available.</w:t>
            </w:r>
          </w:p>
        </w:tc>
        <w:tc>
          <w:tcPr>
            <w:tcW w:w="2960" w:type="dxa"/>
            <w:shd w:val="clear" w:color="auto" w:fill="F2F6F8"/>
            <w:tcMar>
              <w:top w:w="85" w:type="dxa"/>
              <w:left w:w="100" w:type="dxa"/>
              <w:bottom w:w="85" w:type="dxa"/>
              <w:right w:w="100" w:type="dxa"/>
            </w:tcMar>
            <w:vAlign w:val="center"/>
          </w:tcPr>
          <w:p w14:paraId="1FF816A6" w14:textId="77777777" w:rsidR="006A45BD" w:rsidRDefault="00D920B7">
            <w:pPr>
              <w:spacing w:after="0" w:line="240" w:lineRule="auto"/>
              <w:jc w:val="left"/>
            </w:pPr>
            <w:r>
              <w:rPr>
                <w:color w:val="000000"/>
                <w:sz w:val="21"/>
              </w:rPr>
              <w:t xml:space="preserve">The choice does not </w:t>
            </w:r>
            <w:r>
              <w:rPr>
                <w:color w:val="000000"/>
                <w:sz w:val="21"/>
              </w:rPr>
              <w:t>assert that a direct integration already exists.</w:t>
            </w:r>
          </w:p>
        </w:tc>
      </w:tr>
      <w:tr w:rsidR="006A45BD" w14:paraId="2489FC55" w14:textId="77777777">
        <w:trPr>
          <w:cantSplit/>
          <w:jc w:val="center"/>
        </w:trPr>
        <w:tc>
          <w:tcPr>
            <w:tcW w:w="1680" w:type="dxa"/>
            <w:shd w:val="clear" w:color="auto" w:fill="FFFFFF"/>
            <w:tcMar>
              <w:top w:w="85" w:type="dxa"/>
              <w:left w:w="100" w:type="dxa"/>
              <w:bottom w:w="85" w:type="dxa"/>
              <w:right w:w="100" w:type="dxa"/>
            </w:tcMar>
            <w:vAlign w:val="center"/>
          </w:tcPr>
          <w:p w14:paraId="3959A3EE" w14:textId="77777777" w:rsidR="006A45BD" w:rsidRDefault="00D920B7">
            <w:pPr>
              <w:spacing w:after="0" w:line="240" w:lineRule="auto"/>
              <w:jc w:val="left"/>
            </w:pPr>
            <w:r>
              <w:rPr>
                <w:color w:val="000000"/>
                <w:sz w:val="21"/>
              </w:rPr>
              <w:t>2 September, 15:10</w:t>
            </w:r>
          </w:p>
        </w:tc>
        <w:tc>
          <w:tcPr>
            <w:tcW w:w="3700" w:type="dxa"/>
            <w:shd w:val="clear" w:color="auto" w:fill="FFFFFF"/>
            <w:tcMar>
              <w:top w:w="85" w:type="dxa"/>
              <w:left w:w="100" w:type="dxa"/>
              <w:bottom w:w="85" w:type="dxa"/>
              <w:right w:w="100" w:type="dxa"/>
            </w:tcMar>
            <w:vAlign w:val="center"/>
          </w:tcPr>
          <w:p w14:paraId="3EF2B681" w14:textId="77777777" w:rsidR="006A45BD" w:rsidRDefault="00D920B7">
            <w:pPr>
              <w:spacing w:after="0" w:line="240" w:lineRule="auto"/>
              <w:jc w:val="left"/>
            </w:pPr>
            <w:r>
              <w:rPr>
                <w:color w:val="000000"/>
                <w:sz w:val="21"/>
              </w:rPr>
              <w:t>Lasith: "The Hybrid (AMT + API) method makes complete sense for ANFORA’s current setup."</w:t>
            </w:r>
          </w:p>
        </w:tc>
        <w:tc>
          <w:tcPr>
            <w:tcW w:w="2960" w:type="dxa"/>
            <w:shd w:val="clear" w:color="auto" w:fill="FFFFFF"/>
            <w:tcMar>
              <w:top w:w="85" w:type="dxa"/>
              <w:left w:w="100" w:type="dxa"/>
              <w:bottom w:w="85" w:type="dxa"/>
              <w:right w:w="100" w:type="dxa"/>
            </w:tcMar>
            <w:vAlign w:val="center"/>
          </w:tcPr>
          <w:p w14:paraId="005052ED" w14:textId="77777777" w:rsidR="006A45BD" w:rsidRDefault="00D920B7">
            <w:pPr>
              <w:spacing w:after="0" w:line="240" w:lineRule="auto"/>
              <w:jc w:val="left"/>
            </w:pPr>
            <w:r>
              <w:rPr>
                <w:color w:val="000000"/>
                <w:sz w:val="21"/>
              </w:rPr>
              <w:t xml:space="preserve">Acceptance of the overall strategy. API, indicator schema, authentication and AMT details were </w:t>
            </w:r>
            <w:r>
              <w:rPr>
                <w:color w:val="000000"/>
                <w:sz w:val="21"/>
              </w:rPr>
              <w:t>promised after migration.</w:t>
            </w:r>
          </w:p>
        </w:tc>
      </w:tr>
      <w:tr w:rsidR="006A45BD" w14:paraId="245643E4" w14:textId="77777777">
        <w:trPr>
          <w:cantSplit/>
          <w:jc w:val="center"/>
        </w:trPr>
        <w:tc>
          <w:tcPr>
            <w:tcW w:w="1680" w:type="dxa"/>
            <w:shd w:val="clear" w:color="auto" w:fill="F2F6F8"/>
            <w:tcMar>
              <w:top w:w="85" w:type="dxa"/>
              <w:left w:w="100" w:type="dxa"/>
              <w:bottom w:w="85" w:type="dxa"/>
              <w:right w:w="100" w:type="dxa"/>
            </w:tcMar>
            <w:vAlign w:val="center"/>
          </w:tcPr>
          <w:p w14:paraId="5CA1FF21" w14:textId="77777777" w:rsidR="006A45BD" w:rsidRDefault="00D920B7">
            <w:pPr>
              <w:spacing w:after="0" w:line="240" w:lineRule="auto"/>
              <w:jc w:val="left"/>
            </w:pPr>
            <w:r>
              <w:rPr>
                <w:color w:val="000000"/>
                <w:sz w:val="21"/>
              </w:rPr>
              <w:t>October transcript, 12:38:25-12:39:49</w:t>
            </w:r>
          </w:p>
        </w:tc>
        <w:tc>
          <w:tcPr>
            <w:tcW w:w="3700" w:type="dxa"/>
            <w:shd w:val="clear" w:color="auto" w:fill="F2F6F8"/>
            <w:tcMar>
              <w:top w:w="85" w:type="dxa"/>
              <w:left w:w="100" w:type="dxa"/>
              <w:bottom w:w="85" w:type="dxa"/>
              <w:right w:w="100" w:type="dxa"/>
            </w:tcMar>
            <w:vAlign w:val="center"/>
          </w:tcPr>
          <w:p w14:paraId="4DC56A55" w14:textId="77777777" w:rsidR="006A45BD" w:rsidRDefault="00D920B7">
            <w:pPr>
              <w:spacing w:after="0" w:line="240" w:lineRule="auto"/>
              <w:jc w:val="left"/>
            </w:pPr>
            <w:r>
              <w:rPr>
                <w:color w:val="000000"/>
                <w:sz w:val="21"/>
              </w:rPr>
              <w:t>Lasith recalls both AMT and API, asks which fields will use API and gives the conditional DMS -&gt; TRUE instruction.</w:t>
            </w:r>
          </w:p>
        </w:tc>
        <w:tc>
          <w:tcPr>
            <w:tcW w:w="2960" w:type="dxa"/>
            <w:shd w:val="clear" w:color="auto" w:fill="F2F6F8"/>
            <w:tcMar>
              <w:top w:w="85" w:type="dxa"/>
              <w:left w:w="100" w:type="dxa"/>
              <w:bottom w:w="85" w:type="dxa"/>
              <w:right w:w="100" w:type="dxa"/>
            </w:tcMar>
            <w:vAlign w:val="center"/>
          </w:tcPr>
          <w:p w14:paraId="298D1473" w14:textId="77777777" w:rsidR="006A45BD" w:rsidRDefault="00D920B7">
            <w:pPr>
              <w:spacing w:after="0" w:line="240" w:lineRule="auto"/>
              <w:jc w:val="left"/>
            </w:pPr>
            <w:r>
              <w:rPr>
                <w:color w:val="000000"/>
                <w:sz w:val="21"/>
              </w:rPr>
              <w:t>Named-indicator allocation remains open.</w:t>
            </w:r>
          </w:p>
        </w:tc>
      </w:tr>
      <w:tr w:rsidR="006A45BD" w14:paraId="596E11AE" w14:textId="77777777">
        <w:trPr>
          <w:cantSplit/>
          <w:jc w:val="center"/>
        </w:trPr>
        <w:tc>
          <w:tcPr>
            <w:tcW w:w="1680" w:type="dxa"/>
            <w:shd w:val="clear" w:color="auto" w:fill="FFFFFF"/>
            <w:tcMar>
              <w:top w:w="85" w:type="dxa"/>
              <w:left w:w="100" w:type="dxa"/>
              <w:bottom w:w="85" w:type="dxa"/>
              <w:right w:w="100" w:type="dxa"/>
            </w:tcMar>
            <w:vAlign w:val="center"/>
          </w:tcPr>
          <w:p w14:paraId="1C773994" w14:textId="77777777" w:rsidR="006A45BD" w:rsidRDefault="00D920B7">
            <w:pPr>
              <w:spacing w:after="0" w:line="240" w:lineRule="auto"/>
              <w:jc w:val="left"/>
            </w:pPr>
            <w:r>
              <w:rPr>
                <w:color w:val="000000"/>
                <w:sz w:val="21"/>
              </w:rPr>
              <w:t>12:42:51-12:43:20</w:t>
            </w:r>
          </w:p>
        </w:tc>
        <w:tc>
          <w:tcPr>
            <w:tcW w:w="3700" w:type="dxa"/>
            <w:shd w:val="clear" w:color="auto" w:fill="FFFFFF"/>
            <w:tcMar>
              <w:top w:w="85" w:type="dxa"/>
              <w:left w:w="100" w:type="dxa"/>
              <w:bottom w:w="85" w:type="dxa"/>
              <w:right w:w="100" w:type="dxa"/>
            </w:tcMar>
            <w:vAlign w:val="center"/>
          </w:tcPr>
          <w:p w14:paraId="24E89BA3" w14:textId="77777777" w:rsidR="006A45BD" w:rsidRDefault="00D920B7">
            <w:pPr>
              <w:spacing w:after="0" w:line="240" w:lineRule="auto"/>
              <w:jc w:val="left"/>
            </w:pPr>
            <w:r>
              <w:rPr>
                <w:color w:val="000000"/>
                <w:sz w:val="21"/>
              </w:rPr>
              <w:t xml:space="preserve">Planned </w:t>
            </w:r>
            <w:r>
              <w:rPr>
                <w:color w:val="000000"/>
                <w:sz w:val="21"/>
              </w:rPr>
              <w:t>endpoint access using supplied username/password to obtain a token; no VPN required.</w:t>
            </w:r>
          </w:p>
        </w:tc>
        <w:tc>
          <w:tcPr>
            <w:tcW w:w="2960" w:type="dxa"/>
            <w:shd w:val="clear" w:color="auto" w:fill="FFFFFF"/>
            <w:tcMar>
              <w:top w:w="85" w:type="dxa"/>
              <w:left w:w="100" w:type="dxa"/>
              <w:bottom w:w="85" w:type="dxa"/>
              <w:right w:w="100" w:type="dxa"/>
            </w:tcMar>
            <w:vAlign w:val="center"/>
          </w:tcPr>
          <w:p w14:paraId="0AA790E3" w14:textId="77777777" w:rsidR="006A45BD" w:rsidRDefault="00D920B7">
            <w:pPr>
              <w:spacing w:after="0" w:line="240" w:lineRule="auto"/>
              <w:jc w:val="left"/>
            </w:pPr>
            <w:r>
              <w:rPr>
                <w:color w:val="000000"/>
                <w:sz w:val="21"/>
              </w:rPr>
              <w:t>An intended authentication approach, without the concrete endpoint, token contract or working access.</w:t>
            </w:r>
          </w:p>
        </w:tc>
      </w:tr>
    </w:tbl>
    <w:p w14:paraId="6EA92968" w14:textId="77777777" w:rsidR="006A45BD" w:rsidRDefault="00D920B7">
      <w:pPr>
        <w:pStyle w:val="Descripcin"/>
        <w:spacing w:before="80" w:after="160"/>
      </w:pPr>
      <w:r>
        <w:t xml:space="preserve">Table 2. September times are as supplied; their timezone is not </w:t>
      </w:r>
      <w:r>
        <w:t>independently established. [T01, T02]</w:t>
      </w:r>
    </w:p>
    <w:p w14:paraId="6AA67BE1" w14:textId="77777777" w:rsidR="006A45BD" w:rsidRDefault="00D920B7">
      <w:pPr>
        <w:spacing w:after="140" w:line="276" w:lineRule="auto"/>
      </w:pPr>
      <w:r>
        <w:t>AMT means the Adaptive Monitoring Tool for manual entry. API is the automated transmission mechanism. DMS refers to the receiving data-management system or its terminology in the template. The official workbook says AM</w:t>
      </w:r>
      <w:r>
        <w:t>T + DMS and DMS -&gt; TRUE. Read with the September agreement, the strongest working interpretation is that DMS names the receiver or intake route associated with the API branch; it is not evidence of a third independent delivery modality and is not automatic</w:t>
      </w:r>
      <w:r>
        <w:t>ally equivalent to AMT. This mapping is an interpretation to confirm with Lasith. [T01-T03]</w:t>
      </w:r>
    </w:p>
    <w:p w14:paraId="0FEB65BF" w14:textId="77777777" w:rsidR="006A45BD" w:rsidRDefault="00D920B7">
      <w:pPr>
        <w:spacing w:after="140" w:line="276" w:lineRule="auto"/>
      </w:pPr>
      <w:r>
        <w:t>Keep auto_accept blank until Lasith confirms how the DMS label maps to each agreed route and what AMT/non-DMS rows require. The transcript’s conditional TRUE instru</w:t>
      </w:r>
      <w:r>
        <w:t>ction remains valid; it does not justify setting TRUE for all quantitative indicators or infer FALSE for an unset route. Auto-acceptance at intake is distinct from scientific or formal approval of a result. [T02, T03]</w:t>
      </w:r>
    </w:p>
    <w:p w14:paraId="54AAFF4A" w14:textId="77777777" w:rsidR="006A45BD" w:rsidRDefault="00D920B7">
      <w:pPr>
        <w:spacing w:after="140" w:line="276" w:lineRule="auto"/>
      </w:pPr>
      <w:r>
        <w:t>Original September emails and later re</w:t>
      </w:r>
      <w:r>
        <w:t>ceiver/API/AMT specifications were not located in accessible Gmail or reviewed local files. The agreement is attributed to Evenor-Tech’s supplied correspondence, not independently retrieved email headers. Other company mailboxes remain outside this search;</w:t>
      </w:r>
      <w:r>
        <w:t xml:space="preserve"> non-delivery is not established. The October meeting’s exact date remains unstated. [T01, T02, T10]</w:t>
      </w:r>
    </w:p>
    <w:p w14:paraId="3F10AED9" w14:textId="77777777" w:rsidR="006A45BD" w:rsidRDefault="00D920B7">
      <w:pPr>
        <w:pStyle w:val="Ttulo3"/>
        <w:pageBreakBefore/>
        <w:spacing w:before="0" w:after="160"/>
      </w:pPr>
      <w:bookmarkStart w:id="2" w:name="_Toc243473383"/>
      <w:r>
        <w:lastRenderedPageBreak/>
        <w:t>3 Structured Data and Measurement Readiness</w:t>
      </w:r>
      <w:bookmarkEnd w:id="2"/>
    </w:p>
    <w:p w14:paraId="7E10830F" w14:textId="77777777" w:rsidR="006A45BD" w:rsidRDefault="00D920B7">
      <w:pPr>
        <w:spacing w:after="140" w:line="276" w:lineRule="auto"/>
      </w:pPr>
      <w:r>
        <w:t>The inspected local version is a React/Vite frontend and Node.js/Express backend using Mongoose. Its six models</w:t>
      </w:r>
      <w:r>
        <w:t xml:space="preserve"> are User, Crop, Recipe, CalculatedRecipe, WeeklyMenu and Newsletter. Source inspection and Git heads are current to this review; production equivalence and deployment dates are not newly verified. No operational query or application request was executed. </w:t>
      </w:r>
      <w:r>
        <w:t>[T04, T14]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0"/>
        <w:gridCol w:w="3340"/>
        <w:gridCol w:w="3160"/>
      </w:tblGrid>
      <w:tr w:rsidR="006A45BD" w14:paraId="1BCF994D" w14:textId="77777777">
        <w:trPr>
          <w:cantSplit/>
          <w:tblHeader/>
          <w:jc w:val="center"/>
        </w:trPr>
        <w:tc>
          <w:tcPr>
            <w:tcW w:w="1840" w:type="dxa"/>
            <w:shd w:val="clear" w:color="auto" w:fill="156082"/>
            <w:tcMar>
              <w:top w:w="85" w:type="dxa"/>
              <w:left w:w="100" w:type="dxa"/>
              <w:bottom w:w="85" w:type="dxa"/>
              <w:right w:w="100" w:type="dxa"/>
            </w:tcMar>
            <w:vAlign w:val="center"/>
          </w:tcPr>
          <w:p w14:paraId="5A80DA8C" w14:textId="77777777" w:rsidR="006A45BD" w:rsidRDefault="00D920B7">
            <w:pPr>
              <w:spacing w:after="0" w:line="240" w:lineRule="auto"/>
              <w:jc w:val="left"/>
            </w:pPr>
            <w:r>
              <w:rPr>
                <w:b/>
                <w:color w:val="FFFFFF"/>
                <w:sz w:val="21"/>
              </w:rPr>
              <w:t>Source</w:t>
            </w:r>
          </w:p>
        </w:tc>
        <w:tc>
          <w:tcPr>
            <w:tcW w:w="3340" w:type="dxa"/>
            <w:shd w:val="clear" w:color="auto" w:fill="156082"/>
            <w:tcMar>
              <w:top w:w="85" w:type="dxa"/>
              <w:left w:w="100" w:type="dxa"/>
              <w:bottom w:w="85" w:type="dxa"/>
              <w:right w:w="100" w:type="dxa"/>
            </w:tcMar>
            <w:vAlign w:val="center"/>
          </w:tcPr>
          <w:p w14:paraId="1C4D0FB1" w14:textId="77777777" w:rsidR="006A45BD" w:rsidRDefault="00D920B7">
            <w:pPr>
              <w:spacing w:after="0" w:line="240" w:lineRule="auto"/>
              <w:jc w:val="left"/>
            </w:pPr>
            <w:r>
              <w:rPr>
                <w:b/>
                <w:color w:val="FFFFFF"/>
                <w:sz w:val="21"/>
              </w:rPr>
              <w:t>Existing structured content</w:t>
            </w:r>
          </w:p>
        </w:tc>
        <w:tc>
          <w:tcPr>
            <w:tcW w:w="3160" w:type="dxa"/>
            <w:shd w:val="clear" w:color="auto" w:fill="156082"/>
            <w:tcMar>
              <w:top w:w="85" w:type="dxa"/>
              <w:left w:w="100" w:type="dxa"/>
              <w:bottom w:w="85" w:type="dxa"/>
              <w:right w:w="100" w:type="dxa"/>
            </w:tcMar>
            <w:vAlign w:val="center"/>
          </w:tcPr>
          <w:p w14:paraId="535FC32E" w14:textId="77777777" w:rsidR="006A45BD" w:rsidRDefault="00D920B7">
            <w:pPr>
              <w:spacing w:after="0" w:line="240" w:lineRule="auto"/>
              <w:jc w:val="left"/>
            </w:pPr>
            <w:r>
              <w:rPr>
                <w:b/>
                <w:color w:val="FFFFFF"/>
                <w:sz w:val="21"/>
              </w:rPr>
              <w:t>Indicator boundary</w:t>
            </w:r>
          </w:p>
        </w:tc>
      </w:tr>
      <w:tr w:rsidR="006A45BD" w14:paraId="55833243" w14:textId="77777777">
        <w:trPr>
          <w:cantSplit/>
          <w:jc w:val="center"/>
        </w:trPr>
        <w:tc>
          <w:tcPr>
            <w:tcW w:w="1840" w:type="dxa"/>
            <w:shd w:val="clear" w:color="auto" w:fill="FFFFFF"/>
            <w:tcMar>
              <w:top w:w="85" w:type="dxa"/>
              <w:left w:w="100" w:type="dxa"/>
              <w:bottom w:w="85" w:type="dxa"/>
              <w:right w:w="100" w:type="dxa"/>
            </w:tcMar>
            <w:vAlign w:val="center"/>
          </w:tcPr>
          <w:p w14:paraId="0638CD6F" w14:textId="77777777" w:rsidR="006A45BD" w:rsidRDefault="00D920B7">
            <w:pPr>
              <w:spacing w:after="0" w:line="240" w:lineRule="auto"/>
              <w:jc w:val="left"/>
            </w:pPr>
            <w:r>
              <w:rPr>
                <w:color w:val="000000"/>
                <w:sz w:val="21"/>
              </w:rPr>
              <w:t>Users</w:t>
            </w:r>
          </w:p>
        </w:tc>
        <w:tc>
          <w:tcPr>
            <w:tcW w:w="3340" w:type="dxa"/>
            <w:shd w:val="clear" w:color="auto" w:fill="FFFFFF"/>
            <w:tcMar>
              <w:top w:w="85" w:type="dxa"/>
              <w:left w:w="100" w:type="dxa"/>
              <w:bottom w:w="85" w:type="dxa"/>
              <w:right w:w="100" w:type="dxa"/>
            </w:tcMar>
            <w:vAlign w:val="center"/>
          </w:tcPr>
          <w:p w14:paraId="4C2DC01D" w14:textId="77777777" w:rsidR="006A45BD" w:rsidRDefault="00D920B7">
            <w:pPr>
              <w:spacing w:after="0" w:line="240" w:lineRule="auto"/>
              <w:jc w:val="left"/>
            </w:pPr>
            <w:r>
              <w:rPr>
                <w:color w:val="000000"/>
                <w:sz w:val="21"/>
              </w:rPr>
              <w:t>Account ID, name/email, creation/update and latest login.</w:t>
            </w:r>
          </w:p>
        </w:tc>
        <w:tc>
          <w:tcPr>
            <w:tcW w:w="3160" w:type="dxa"/>
            <w:shd w:val="clear" w:color="auto" w:fill="FFFFFF"/>
            <w:tcMar>
              <w:top w:w="85" w:type="dxa"/>
              <w:left w:w="100" w:type="dxa"/>
              <w:bottom w:w="85" w:type="dxa"/>
              <w:right w:w="100" w:type="dxa"/>
            </w:tcMar>
            <w:vAlign w:val="center"/>
          </w:tcPr>
          <w:p w14:paraId="122FF97F" w14:textId="77777777" w:rsidR="006A45BD" w:rsidRDefault="00D920B7">
            <w:pPr>
              <w:spacing w:after="0" w:line="240" w:lineRule="auto"/>
              <w:jc w:val="left"/>
            </w:pPr>
            <w:r>
              <w:rPr>
                <w:color w:val="000000"/>
                <w:sz w:val="21"/>
              </w:rPr>
              <w:t>Not unique external people, training completion, eligibility or historical sessions. No demographic/HR model.</w:t>
            </w:r>
          </w:p>
        </w:tc>
      </w:tr>
      <w:tr w:rsidR="006A45BD" w14:paraId="64F0ABFD" w14:textId="77777777">
        <w:trPr>
          <w:cantSplit/>
          <w:jc w:val="center"/>
        </w:trPr>
        <w:tc>
          <w:tcPr>
            <w:tcW w:w="1840" w:type="dxa"/>
            <w:shd w:val="clear" w:color="auto" w:fill="F2F6F8"/>
            <w:tcMar>
              <w:top w:w="85" w:type="dxa"/>
              <w:left w:w="100" w:type="dxa"/>
              <w:bottom w:w="85" w:type="dxa"/>
              <w:right w:w="100" w:type="dxa"/>
            </w:tcMar>
            <w:vAlign w:val="center"/>
          </w:tcPr>
          <w:p w14:paraId="252C05DD" w14:textId="77777777" w:rsidR="006A45BD" w:rsidRDefault="00D920B7">
            <w:pPr>
              <w:spacing w:after="0" w:line="240" w:lineRule="auto"/>
              <w:jc w:val="left"/>
            </w:pPr>
            <w:r>
              <w:rPr>
                <w:color w:val="000000"/>
                <w:sz w:val="21"/>
              </w:rPr>
              <w:t xml:space="preserve">Crop </w:t>
            </w:r>
            <w:r>
              <w:rPr>
                <w:color w:val="000000"/>
                <w:sz w:val="21"/>
              </w:rPr>
              <w:t>catalogue</w:t>
            </w:r>
          </w:p>
        </w:tc>
        <w:tc>
          <w:tcPr>
            <w:tcW w:w="3340" w:type="dxa"/>
            <w:shd w:val="clear" w:color="auto" w:fill="F2F6F8"/>
            <w:tcMar>
              <w:top w:w="85" w:type="dxa"/>
              <w:left w:w="100" w:type="dxa"/>
              <w:bottom w:w="85" w:type="dxa"/>
              <w:right w:w="100" w:type="dxa"/>
            </w:tcMar>
            <w:vAlign w:val="center"/>
          </w:tcPr>
          <w:p w14:paraId="24E9BABD" w14:textId="77777777" w:rsidR="006A45BD" w:rsidRDefault="00D920B7">
            <w:pPr>
              <w:spacing w:after="0" w:line="240" w:lineRule="auto"/>
              <w:jc w:val="left"/>
            </w:pPr>
            <w:r>
              <w:rPr>
                <w:color w:val="000000"/>
                <w:sz w:val="21"/>
              </w:rPr>
              <w:t>Global, Andalusian and preloaded AI-associated reference footprint values and source metadata.</w:t>
            </w:r>
          </w:p>
        </w:tc>
        <w:tc>
          <w:tcPr>
            <w:tcW w:w="3160" w:type="dxa"/>
            <w:shd w:val="clear" w:color="auto" w:fill="F2F6F8"/>
            <w:tcMar>
              <w:top w:w="85" w:type="dxa"/>
              <w:left w:w="100" w:type="dxa"/>
              <w:bottom w:w="85" w:type="dxa"/>
              <w:right w:w="100" w:type="dxa"/>
            </w:tcMar>
            <w:vAlign w:val="center"/>
          </w:tcPr>
          <w:p w14:paraId="35ADBB21" w14:textId="77777777" w:rsidR="006A45BD" w:rsidRDefault="00D920B7">
            <w:pPr>
              <w:spacing w:after="0" w:line="240" w:lineRule="auto"/>
              <w:jc w:val="left"/>
            </w:pPr>
            <w:r>
              <w:rPr>
                <w:color w:val="000000"/>
                <w:sz w:val="21"/>
              </w:rPr>
              <w:t>Not territorial renewable resources, WEI+ or irrigation electricity.</w:t>
            </w:r>
          </w:p>
        </w:tc>
      </w:tr>
      <w:tr w:rsidR="006A45BD" w14:paraId="68219C89" w14:textId="77777777">
        <w:trPr>
          <w:cantSplit/>
          <w:jc w:val="center"/>
        </w:trPr>
        <w:tc>
          <w:tcPr>
            <w:tcW w:w="1840" w:type="dxa"/>
            <w:shd w:val="clear" w:color="auto" w:fill="FFFFFF"/>
            <w:tcMar>
              <w:top w:w="85" w:type="dxa"/>
              <w:left w:w="100" w:type="dxa"/>
              <w:bottom w:w="85" w:type="dxa"/>
              <w:right w:w="100" w:type="dxa"/>
            </w:tcMar>
            <w:vAlign w:val="center"/>
          </w:tcPr>
          <w:p w14:paraId="0003024C" w14:textId="77777777" w:rsidR="006A45BD" w:rsidRDefault="00D920B7">
            <w:pPr>
              <w:spacing w:after="0" w:line="240" w:lineRule="auto"/>
              <w:jc w:val="left"/>
            </w:pPr>
            <w:r>
              <w:rPr>
                <w:color w:val="000000"/>
                <w:sz w:val="21"/>
              </w:rPr>
              <w:t>Calculated recipes</w:t>
            </w:r>
          </w:p>
        </w:tc>
        <w:tc>
          <w:tcPr>
            <w:tcW w:w="3340" w:type="dxa"/>
            <w:shd w:val="clear" w:color="auto" w:fill="FFFFFF"/>
            <w:tcMar>
              <w:top w:w="85" w:type="dxa"/>
              <w:left w:w="100" w:type="dxa"/>
              <w:bottom w:w="85" w:type="dxa"/>
              <w:right w:w="100" w:type="dxa"/>
            </w:tcMar>
            <w:vAlign w:val="center"/>
          </w:tcPr>
          <w:p w14:paraId="0E7BDAFB" w14:textId="77777777" w:rsidR="006A45BD" w:rsidRDefault="00D920B7">
            <w:pPr>
              <w:spacing w:after="0" w:line="240" w:lineRule="auto"/>
              <w:jc w:val="left"/>
            </w:pPr>
            <w:r>
              <w:rPr>
                <w:color w:val="000000"/>
                <w:sz w:val="21"/>
              </w:rPr>
              <w:t xml:space="preserve">Dated anonymous calculation, quantities/mass basis, </w:t>
            </w:r>
            <w:r>
              <w:rPr>
                <w:color w:val="000000"/>
                <w:sz w:val="21"/>
              </w:rPr>
              <w:t>source/mode, servings and blue/green/grey/total/per-serving footprint.</w:t>
            </w:r>
          </w:p>
        </w:tc>
        <w:tc>
          <w:tcPr>
            <w:tcW w:w="3160" w:type="dxa"/>
            <w:shd w:val="clear" w:color="auto" w:fill="FFFFFF"/>
            <w:tcMar>
              <w:top w:w="85" w:type="dxa"/>
              <w:left w:w="100" w:type="dxa"/>
              <w:bottom w:w="85" w:type="dxa"/>
              <w:right w:w="100" w:type="dxa"/>
            </w:tcMar>
            <w:vAlign w:val="center"/>
          </w:tcPr>
          <w:p w14:paraId="408C7998" w14:textId="77777777" w:rsidR="006A45BD" w:rsidRDefault="00D920B7">
            <w:pPr>
              <w:spacing w:after="0" w:line="240" w:lineRule="auto"/>
              <w:jc w:val="left"/>
            </w:pPr>
            <w:r>
              <w:rPr>
                <w:color w:val="000000"/>
                <w:sz w:val="21"/>
              </w:rPr>
              <w:t>No user/session identifier or scenario-pair linkage; strict schema rejects undeclared identity fields.</w:t>
            </w:r>
          </w:p>
        </w:tc>
      </w:tr>
      <w:tr w:rsidR="006A45BD" w14:paraId="54355721" w14:textId="77777777">
        <w:trPr>
          <w:cantSplit/>
          <w:jc w:val="center"/>
        </w:trPr>
        <w:tc>
          <w:tcPr>
            <w:tcW w:w="1840" w:type="dxa"/>
            <w:shd w:val="clear" w:color="auto" w:fill="F2F6F8"/>
            <w:tcMar>
              <w:top w:w="85" w:type="dxa"/>
              <w:left w:w="100" w:type="dxa"/>
              <w:bottom w:w="85" w:type="dxa"/>
              <w:right w:w="100" w:type="dxa"/>
            </w:tcMar>
            <w:vAlign w:val="center"/>
          </w:tcPr>
          <w:p w14:paraId="6C7F33E5" w14:textId="77777777" w:rsidR="006A45BD" w:rsidRDefault="00D920B7">
            <w:pPr>
              <w:spacing w:after="0" w:line="240" w:lineRule="auto"/>
              <w:jc w:val="left"/>
            </w:pPr>
            <w:r>
              <w:rPr>
                <w:color w:val="000000"/>
                <w:sz w:val="21"/>
              </w:rPr>
              <w:t>Saved recipes and menus</w:t>
            </w:r>
          </w:p>
        </w:tc>
        <w:tc>
          <w:tcPr>
            <w:tcW w:w="3340" w:type="dxa"/>
            <w:shd w:val="clear" w:color="auto" w:fill="F2F6F8"/>
            <w:tcMar>
              <w:top w:w="85" w:type="dxa"/>
              <w:left w:w="100" w:type="dxa"/>
              <w:bottom w:w="85" w:type="dxa"/>
              <w:right w:w="100" w:type="dxa"/>
            </w:tcMar>
            <w:vAlign w:val="center"/>
          </w:tcPr>
          <w:p w14:paraId="66F6C942" w14:textId="77777777" w:rsidR="006A45BD" w:rsidRDefault="00D920B7">
            <w:pPr>
              <w:spacing w:after="0" w:line="240" w:lineRule="auto"/>
              <w:jc w:val="left"/>
            </w:pPr>
            <w:r>
              <w:rPr>
                <w:color w:val="000000"/>
                <w:sz w:val="21"/>
              </w:rPr>
              <w:t xml:space="preserve">User-owned recipe/menu snapshots, </w:t>
            </w:r>
            <w:r>
              <w:rPr>
                <w:color w:val="000000"/>
                <w:sz w:val="21"/>
              </w:rPr>
              <w:t>ingredients, servings, footprint and creation/update dates.</w:t>
            </w:r>
          </w:p>
        </w:tc>
        <w:tc>
          <w:tcPr>
            <w:tcW w:w="3160" w:type="dxa"/>
            <w:shd w:val="clear" w:color="auto" w:fill="F2F6F8"/>
            <w:tcMar>
              <w:top w:w="85" w:type="dxa"/>
              <w:left w:w="100" w:type="dxa"/>
              <w:bottom w:w="85" w:type="dxa"/>
              <w:right w:w="100" w:type="dxa"/>
            </w:tcMar>
            <w:vAlign w:val="center"/>
          </w:tcPr>
          <w:p w14:paraId="2493C690" w14:textId="77777777" w:rsidR="006A45BD" w:rsidRDefault="00D920B7">
            <w:pPr>
              <w:spacing w:after="0" w:line="240" w:lineRule="auto"/>
              <w:jc w:val="left"/>
            </w:pPr>
            <w:r>
              <w:rPr>
                <w:color w:val="000000"/>
                <w:sz w:val="21"/>
              </w:rPr>
              <w:t>Saved objects are not consumption diaries or verified behaviour change; owners and free text can be personal data.</w:t>
            </w:r>
          </w:p>
        </w:tc>
      </w:tr>
      <w:tr w:rsidR="006A45BD" w14:paraId="5C3FDDD1" w14:textId="77777777">
        <w:trPr>
          <w:cantSplit/>
          <w:jc w:val="center"/>
        </w:trPr>
        <w:tc>
          <w:tcPr>
            <w:tcW w:w="1840" w:type="dxa"/>
            <w:shd w:val="clear" w:color="auto" w:fill="FFFFFF"/>
            <w:tcMar>
              <w:top w:w="85" w:type="dxa"/>
              <w:left w:w="100" w:type="dxa"/>
              <w:bottom w:w="85" w:type="dxa"/>
              <w:right w:w="100" w:type="dxa"/>
            </w:tcMar>
            <w:vAlign w:val="center"/>
          </w:tcPr>
          <w:p w14:paraId="1D5C7E82" w14:textId="77777777" w:rsidR="006A45BD" w:rsidRDefault="00D920B7">
            <w:pPr>
              <w:spacing w:after="0" w:line="240" w:lineRule="auto"/>
              <w:jc w:val="left"/>
            </w:pPr>
            <w:r>
              <w:rPr>
                <w:color w:val="000000"/>
                <w:sz w:val="21"/>
              </w:rPr>
              <w:t>PostHog</w:t>
            </w:r>
          </w:p>
        </w:tc>
        <w:tc>
          <w:tcPr>
            <w:tcW w:w="3340" w:type="dxa"/>
            <w:shd w:val="clear" w:color="auto" w:fill="FFFFFF"/>
            <w:tcMar>
              <w:top w:w="85" w:type="dxa"/>
              <w:left w:w="100" w:type="dxa"/>
              <w:bottom w:w="85" w:type="dxa"/>
              <w:right w:w="100" w:type="dxa"/>
            </w:tcMar>
            <w:vAlign w:val="center"/>
          </w:tcPr>
          <w:p w14:paraId="006DFBD3" w14:textId="77777777" w:rsidR="006A45BD" w:rsidRDefault="00D920B7">
            <w:pPr>
              <w:spacing w:after="0" w:line="240" w:lineRule="auto"/>
              <w:jc w:val="left"/>
            </w:pPr>
            <w:r>
              <w:rPr>
                <w:color w:val="000000"/>
                <w:sz w:val="21"/>
              </w:rPr>
              <w:t xml:space="preserve">Pageviews, selected interaction and success events, </w:t>
            </w:r>
            <w:r>
              <w:rPr>
                <w:color w:val="000000"/>
                <w:sz w:val="21"/>
              </w:rPr>
              <w:t>pseudonymous identities and session context when consent permits.</w:t>
            </w:r>
          </w:p>
        </w:tc>
        <w:tc>
          <w:tcPr>
            <w:tcW w:w="3160" w:type="dxa"/>
            <w:shd w:val="clear" w:color="auto" w:fill="FFFFFF"/>
            <w:tcMar>
              <w:top w:w="85" w:type="dxa"/>
              <w:left w:w="100" w:type="dxa"/>
              <w:bottom w:w="85" w:type="dxa"/>
              <w:right w:w="100" w:type="dxa"/>
            </w:tcMar>
            <w:vAlign w:val="center"/>
          </w:tcPr>
          <w:p w14:paraId="166282C8" w14:textId="77777777" w:rsidR="006A45BD" w:rsidRDefault="00D920B7">
            <w:pPr>
              <w:spacing w:after="0" w:line="240" w:lineRule="auto"/>
              <w:jc w:val="left"/>
            </w:pPr>
            <w:r>
              <w:rPr>
                <w:color w:val="000000"/>
                <w:sz w:val="21"/>
              </w:rPr>
              <w:t>Captured usage only; internal/test exclusion and coverage must be established.</w:t>
            </w:r>
          </w:p>
        </w:tc>
      </w:tr>
      <w:tr w:rsidR="006A45BD" w14:paraId="3CFEC8A4" w14:textId="77777777">
        <w:trPr>
          <w:cantSplit/>
          <w:jc w:val="center"/>
        </w:trPr>
        <w:tc>
          <w:tcPr>
            <w:tcW w:w="1840" w:type="dxa"/>
            <w:shd w:val="clear" w:color="auto" w:fill="F2F6F8"/>
            <w:tcMar>
              <w:top w:w="85" w:type="dxa"/>
              <w:left w:w="100" w:type="dxa"/>
              <w:bottom w:w="85" w:type="dxa"/>
              <w:right w:w="100" w:type="dxa"/>
            </w:tcMar>
            <w:vAlign w:val="center"/>
          </w:tcPr>
          <w:p w14:paraId="192D71E2" w14:textId="77777777" w:rsidR="006A45BD" w:rsidRDefault="00D920B7">
            <w:pPr>
              <w:spacing w:after="0" w:line="240" w:lineRule="auto"/>
              <w:jc w:val="left"/>
            </w:pPr>
            <w:r>
              <w:rPr>
                <w:color w:val="000000"/>
                <w:sz w:val="21"/>
              </w:rPr>
              <w:t>External activity and HR evidence</w:t>
            </w:r>
          </w:p>
        </w:tc>
        <w:tc>
          <w:tcPr>
            <w:tcW w:w="3340" w:type="dxa"/>
            <w:shd w:val="clear" w:color="auto" w:fill="F2F6F8"/>
            <w:tcMar>
              <w:top w:w="85" w:type="dxa"/>
              <w:left w:w="100" w:type="dxa"/>
              <w:bottom w:w="85" w:type="dxa"/>
              <w:right w:w="100" w:type="dxa"/>
            </w:tcMar>
            <w:vAlign w:val="center"/>
          </w:tcPr>
          <w:p w14:paraId="7F76A9E3" w14:textId="77777777" w:rsidR="006A45BD" w:rsidRDefault="00D920B7">
            <w:pPr>
              <w:spacing w:after="0" w:line="240" w:lineRule="auto"/>
              <w:jc w:val="left"/>
            </w:pPr>
            <w:r>
              <w:rPr>
                <w:color w:val="000000"/>
                <w:sz w:val="21"/>
              </w:rPr>
              <w:t xml:space="preserve">Responsible-party declarations retained in Rev3; external documents held </w:t>
            </w:r>
            <w:r>
              <w:rPr>
                <w:color w:val="000000"/>
                <w:sz w:val="21"/>
              </w:rPr>
              <w:t>by organisers/HR.</w:t>
            </w:r>
          </w:p>
        </w:tc>
        <w:tc>
          <w:tcPr>
            <w:tcW w:w="3160" w:type="dxa"/>
            <w:shd w:val="clear" w:color="auto" w:fill="F2F6F8"/>
            <w:tcMar>
              <w:top w:w="85" w:type="dxa"/>
              <w:left w:w="100" w:type="dxa"/>
              <w:bottom w:w="85" w:type="dxa"/>
              <w:right w:w="100" w:type="dxa"/>
            </w:tcMar>
            <w:vAlign w:val="center"/>
          </w:tcPr>
          <w:p w14:paraId="066071EA" w14:textId="77777777" w:rsidR="006A45BD" w:rsidRDefault="00D920B7">
            <w:pPr>
              <w:spacing w:after="0" w:line="240" w:lineRule="auto"/>
              <w:jc w:val="left"/>
            </w:pPr>
            <w:r>
              <w:rPr>
                <w:color w:val="000000"/>
                <w:sz w:val="21"/>
              </w:rPr>
              <w:t>No application source establishes attendance, jobs, farm energy or survey/demographic outcomes.</w:t>
            </w:r>
          </w:p>
        </w:tc>
      </w:tr>
    </w:tbl>
    <w:p w14:paraId="156422FB" w14:textId="77777777" w:rsidR="006A45BD" w:rsidRDefault="00D920B7">
      <w:pPr>
        <w:pStyle w:val="Descripcin"/>
        <w:spacing w:before="80" w:after="160"/>
      </w:pPr>
      <w:r>
        <w:t>Table 3. Existing inputs versus official measurement requirements. [T03-T08]</w:t>
      </w:r>
    </w:p>
    <w:p w14:paraId="3D9EC423" w14:textId="77777777" w:rsidR="006A45BD" w:rsidRDefault="00D920B7">
      <w:pPr>
        <w:spacing w:after="140" w:line="276" w:lineRule="auto"/>
      </w:pPr>
      <w:r>
        <w:t xml:space="preserve">Footprints and catalogue statistics can be computed from </w:t>
      </w:r>
      <w:r>
        <w:t>existing inputs. Official INNOV_003 users/sessions still need agreed aggregation, identity semantics and exclusions. INNOV_004 differences need valid comparable pairs. Satisfaction and demographic alert arithmetic would be simple only after valid responses</w:t>
      </w:r>
      <w:r>
        <w:t xml:space="preserve"> and denominators exist. No current model supplies those missing observations. Existing anonymous calculations must not be relinked to people merely to make the integration easier. [T04-T06]</w:t>
      </w:r>
    </w:p>
    <w:p w14:paraId="0ED73B19" w14:textId="77777777" w:rsidR="006A45BD" w:rsidRDefault="00D920B7">
      <w:pPr>
        <w:pStyle w:val="Ttulo3"/>
        <w:pageBreakBefore/>
        <w:spacing w:before="0" w:after="160"/>
      </w:pPr>
      <w:bookmarkStart w:id="3" w:name="_Toc243473384"/>
      <w:r>
        <w:lastRenderedPageBreak/>
        <w:t>4 Analytics and Reusable Components</w:t>
      </w:r>
      <w:bookmarkEnd w:id="3"/>
    </w:p>
    <w:p w14:paraId="7202F363" w14:textId="77777777" w:rsidR="006A45BD" w:rsidRDefault="00D920B7">
      <w:pPr>
        <w:pStyle w:val="Ttulo4"/>
        <w:spacing w:before="180" w:after="160"/>
      </w:pPr>
      <w:r>
        <w:t>4.1 Captured Events and Ident</w:t>
      </w:r>
      <w:r>
        <w:t>ity</w:t>
      </w:r>
    </w:p>
    <w:p w14:paraId="76401DD7" w14:textId="77777777" w:rsidR="006A45BD" w:rsidRDefault="00D920B7">
      <w:pPr>
        <w:spacing w:after="140" w:line="276" w:lineRule="auto"/>
      </w:pPr>
      <w:r>
        <w:t>Frontend capture defines $pageview and 21 custom types for engagement, calculator steps/ingredients, save/login/export and menu actions. Normalised routes exclude password-reset tokens. All names are in the matrix’s Event inventory; code is not proof o</w:t>
      </w:r>
      <w:r>
        <w:t>f capture. [T05]</w:t>
      </w:r>
    </w:p>
    <w:p w14:paraId="14C5AB22" w14:textId="77777777" w:rsidR="006A45BD" w:rsidRDefault="00D920B7">
      <w:pPr>
        <w:spacing w:after="140" w:line="276" w:lineRule="auto"/>
      </w:pPr>
      <w:r>
        <w:t>Ten backend event types cover registration/login, contact/newsletter, successful calculation, recipe save/delete and menu create/update/delete. Submitted client events and successful server events have different meanings and must not be ad</w:t>
      </w:r>
      <w:r>
        <w:t>ded as separate completed actions. Footprint buckets cannot reconstruct exact paired savings. [T05, T06]</w:t>
      </w:r>
    </w:p>
    <w:p w14:paraId="7E42EBB9" w14:textId="77777777" w:rsidR="006A45BD" w:rsidRDefault="00D920B7">
      <w:pPr>
        <w:spacing w:after="140" w:line="276" w:lineRule="auto"/>
      </w:pPr>
      <w:r>
        <w:t>Analytics defaults to off until consent, respects DNT/GPC and resets identity on account changes/logout. The browser SDK supplies anonymous IDs; authen</w:t>
      </w:r>
      <w:r>
        <w:t>ticated users are identified by their MongoDB ID. Consent, distinct ID and session ID are forwarded to the backend; verified authentication can supply registered identity there. Client-supplied analytics headers are not an eligibility or anti-fraud attesta</w:t>
      </w:r>
      <w:r>
        <w:t>tion. No current internal/test eligibility flag certifies which residual accounts are external. [T04, T05, T07]</w:t>
      </w:r>
    </w:p>
    <w:p w14:paraId="685A1722" w14:textId="77777777" w:rsidR="006A45BD" w:rsidRDefault="00D920B7">
      <w:pPr>
        <w:spacing w:after="140" w:line="276" w:lineRule="auto"/>
      </w:pPr>
      <w:r>
        <w:t>The local session idle timeout is 1,800 seconds. page_engagement separately samples active foreground time with a 60-second activity-idle thresh</w:t>
      </w:r>
      <w:r>
        <w:t>old; it is not the same as session duration. Daily unique counts must not be summed to obtain period uniques, and identities across devices/accounts require agreed resolution. Consent refusal, missing instrumentation, deletion and retention can limit cover</w:t>
      </w:r>
      <w:r>
        <w:t>age. The 31 August captured tests do not establish zero external visits earlier. [T05, T08, T11]</w:t>
      </w:r>
    </w:p>
    <w:p w14:paraId="6336682A" w14:textId="77777777" w:rsidR="006A45BD" w:rsidRDefault="00D920B7">
      <w:pPr>
        <w:pStyle w:val="Ttulo4"/>
        <w:spacing w:before="180" w:after="160"/>
      </w:pPr>
      <w:r>
        <w:t>4.2 Reuse Boundaries</w:t>
      </w:r>
    </w:p>
    <w:p w14:paraId="3946F3EB" w14:textId="77777777" w:rsidR="006A45BD" w:rsidRDefault="00D920B7">
      <w:pPr>
        <w:spacing w:after="140" w:line="276" w:lineRule="auto"/>
      </w:pPr>
      <w:r>
        <w:t>Reuse Mongoose read/filter/aggregation patterns, calculation source metadata, existing validation utilities and the Winston logging librar</w:t>
      </w:r>
      <w:r>
        <w:t>y in a future isolated adapter. Do not reuse the browser ApiClient for RURACTIVE: it targets ANFORA and adds application cookies/analytics headers. The PostHog SDK is an ingestion client, not a RURACTIVE sender or private historical-query credential. Its b</w:t>
      </w:r>
      <w:r>
        <w:t>est-effort asynchronous capture does not provide a durable external-delivery receipt. [T04-T06, T11]</w:t>
      </w:r>
    </w:p>
    <w:p w14:paraId="72083DFC" w14:textId="77777777" w:rsidR="006A45BD" w:rsidRDefault="00D920B7">
      <w:pPr>
        <w:spacing w:after="140" w:line="276" w:lineRule="auto"/>
      </w:pPr>
      <w:r>
        <w:t>Profile waterSaved uses a fixed 2,500 L/serving benchmark and clamps negative differences; it is not an INNOV_004 baseline. Recipe CSVs can replace missing</w:t>
      </w:r>
      <w:r>
        <w:t xml:space="preserve"> data with zero and show export time. Use validated raw fields and pairs. Disabled exception capture cannot establish critical incidents. [T05, T06]</w:t>
      </w:r>
    </w:p>
    <w:p w14:paraId="413ECE8E" w14:textId="77777777" w:rsidR="006A45BD" w:rsidRDefault="00D920B7">
      <w:pPr>
        <w:pStyle w:val="Ttulo3"/>
        <w:pageBreakBefore/>
        <w:spacing w:before="0" w:after="160"/>
      </w:pPr>
      <w:bookmarkStart w:id="4" w:name="_Toc243473385"/>
      <w:r>
        <w:lastRenderedPageBreak/>
        <w:t>5 Internal Endpoints and Missing Integration</w:t>
      </w:r>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20"/>
        <w:gridCol w:w="2460"/>
        <w:gridCol w:w="2660"/>
      </w:tblGrid>
      <w:tr w:rsidR="006A45BD" w14:paraId="3EC1CDBE" w14:textId="77777777">
        <w:trPr>
          <w:cantSplit/>
          <w:tblHeader/>
          <w:jc w:val="center"/>
        </w:trPr>
        <w:tc>
          <w:tcPr>
            <w:tcW w:w="3220" w:type="dxa"/>
            <w:shd w:val="clear" w:color="auto" w:fill="156082"/>
            <w:tcMar>
              <w:top w:w="85" w:type="dxa"/>
              <w:left w:w="100" w:type="dxa"/>
              <w:bottom w:w="85" w:type="dxa"/>
              <w:right w:w="100" w:type="dxa"/>
            </w:tcMar>
            <w:vAlign w:val="center"/>
          </w:tcPr>
          <w:p w14:paraId="2186E78B" w14:textId="77777777" w:rsidR="006A45BD" w:rsidRDefault="00D920B7">
            <w:pPr>
              <w:spacing w:after="0" w:line="240" w:lineRule="auto"/>
              <w:jc w:val="left"/>
            </w:pPr>
            <w:r>
              <w:rPr>
                <w:b/>
                <w:color w:val="FFFFFF"/>
                <w:sz w:val="21"/>
              </w:rPr>
              <w:t>Existing internal surface</w:t>
            </w:r>
          </w:p>
        </w:tc>
        <w:tc>
          <w:tcPr>
            <w:tcW w:w="2460" w:type="dxa"/>
            <w:shd w:val="clear" w:color="auto" w:fill="156082"/>
            <w:tcMar>
              <w:top w:w="85" w:type="dxa"/>
              <w:left w:w="100" w:type="dxa"/>
              <w:bottom w:w="85" w:type="dxa"/>
              <w:right w:w="100" w:type="dxa"/>
            </w:tcMar>
            <w:vAlign w:val="center"/>
          </w:tcPr>
          <w:p w14:paraId="4F6D7DB0" w14:textId="77777777" w:rsidR="006A45BD" w:rsidRDefault="00D920B7">
            <w:pPr>
              <w:spacing w:after="0" w:line="240" w:lineRule="auto"/>
              <w:jc w:val="left"/>
            </w:pPr>
            <w:r>
              <w:rPr>
                <w:b/>
                <w:color w:val="FFFFFF"/>
                <w:sz w:val="21"/>
              </w:rPr>
              <w:t>Possible reuse</w:t>
            </w:r>
          </w:p>
        </w:tc>
        <w:tc>
          <w:tcPr>
            <w:tcW w:w="2660" w:type="dxa"/>
            <w:shd w:val="clear" w:color="auto" w:fill="156082"/>
            <w:tcMar>
              <w:top w:w="85" w:type="dxa"/>
              <w:left w:w="100" w:type="dxa"/>
              <w:bottom w:w="85" w:type="dxa"/>
              <w:right w:w="100" w:type="dxa"/>
            </w:tcMar>
            <w:vAlign w:val="center"/>
          </w:tcPr>
          <w:p w14:paraId="367B99A3" w14:textId="77777777" w:rsidR="006A45BD" w:rsidRDefault="00D920B7">
            <w:pPr>
              <w:spacing w:after="0" w:line="240" w:lineRule="auto"/>
              <w:jc w:val="left"/>
            </w:pPr>
            <w:r>
              <w:rPr>
                <w:b/>
                <w:color w:val="FFFFFF"/>
                <w:sz w:val="21"/>
              </w:rPr>
              <w:t>Important limit</w:t>
            </w:r>
          </w:p>
        </w:tc>
      </w:tr>
      <w:tr w:rsidR="006A45BD" w14:paraId="42E1E8A6" w14:textId="77777777">
        <w:trPr>
          <w:cantSplit/>
          <w:jc w:val="center"/>
        </w:trPr>
        <w:tc>
          <w:tcPr>
            <w:tcW w:w="3220" w:type="dxa"/>
            <w:shd w:val="clear" w:color="auto" w:fill="FFFFFF"/>
            <w:tcMar>
              <w:top w:w="85" w:type="dxa"/>
              <w:left w:w="100" w:type="dxa"/>
              <w:bottom w:w="85" w:type="dxa"/>
              <w:right w:w="100" w:type="dxa"/>
            </w:tcMar>
            <w:vAlign w:val="center"/>
          </w:tcPr>
          <w:p w14:paraId="2BFECF76" w14:textId="77777777" w:rsidR="006A45BD" w:rsidRDefault="00D920B7">
            <w:pPr>
              <w:spacing w:after="0" w:line="240" w:lineRule="auto"/>
              <w:jc w:val="left"/>
            </w:pPr>
            <w:r>
              <w:rPr>
                <w:color w:val="000000"/>
                <w:sz w:val="21"/>
              </w:rPr>
              <w:t>GET /api/water-footprint/crops and /crops/:id</w:t>
            </w:r>
          </w:p>
        </w:tc>
        <w:tc>
          <w:tcPr>
            <w:tcW w:w="2460" w:type="dxa"/>
            <w:shd w:val="clear" w:color="auto" w:fill="FFFFFF"/>
            <w:tcMar>
              <w:top w:w="85" w:type="dxa"/>
              <w:left w:w="100" w:type="dxa"/>
              <w:bottom w:w="85" w:type="dxa"/>
              <w:right w:w="100" w:type="dxa"/>
            </w:tcMar>
            <w:vAlign w:val="center"/>
          </w:tcPr>
          <w:p w14:paraId="6969A8BF" w14:textId="77777777" w:rsidR="006A45BD" w:rsidRDefault="00D920B7">
            <w:pPr>
              <w:spacing w:after="0" w:line="240" w:lineRule="auto"/>
              <w:jc w:val="left"/>
            </w:pPr>
            <w:r>
              <w:rPr>
                <w:color w:val="000000"/>
                <w:sz w:val="21"/>
              </w:rPr>
              <w:t>Reference catalogue and source lookup.</w:t>
            </w:r>
          </w:p>
        </w:tc>
        <w:tc>
          <w:tcPr>
            <w:tcW w:w="2660" w:type="dxa"/>
            <w:shd w:val="clear" w:color="auto" w:fill="FFFFFF"/>
            <w:tcMar>
              <w:top w:w="85" w:type="dxa"/>
              <w:left w:w="100" w:type="dxa"/>
              <w:bottom w:w="85" w:type="dxa"/>
              <w:right w:w="100" w:type="dxa"/>
            </w:tcMar>
            <w:vAlign w:val="center"/>
          </w:tcPr>
          <w:p w14:paraId="157BA126" w14:textId="77777777" w:rsidR="006A45BD" w:rsidRDefault="00D920B7">
            <w:pPr>
              <w:spacing w:after="0" w:line="240" w:lineRule="auto"/>
              <w:jc w:val="left"/>
            </w:pPr>
            <w:r>
              <w:rPr>
                <w:color w:val="000000"/>
                <w:sz w:val="21"/>
              </w:rPr>
              <w:t>Reference data, not adoption or impact.</w:t>
            </w:r>
          </w:p>
        </w:tc>
      </w:tr>
      <w:tr w:rsidR="006A45BD" w14:paraId="7D3645A8" w14:textId="77777777">
        <w:trPr>
          <w:cantSplit/>
          <w:jc w:val="center"/>
        </w:trPr>
        <w:tc>
          <w:tcPr>
            <w:tcW w:w="3220" w:type="dxa"/>
            <w:shd w:val="clear" w:color="auto" w:fill="F2F6F8"/>
            <w:tcMar>
              <w:top w:w="85" w:type="dxa"/>
              <w:left w:w="100" w:type="dxa"/>
              <w:bottom w:w="85" w:type="dxa"/>
              <w:right w:w="100" w:type="dxa"/>
            </w:tcMar>
            <w:vAlign w:val="center"/>
          </w:tcPr>
          <w:p w14:paraId="6FA70AD5" w14:textId="77777777" w:rsidR="006A45BD" w:rsidRDefault="00D920B7">
            <w:pPr>
              <w:spacing w:after="0" w:line="240" w:lineRule="auto"/>
              <w:jc w:val="left"/>
            </w:pPr>
            <w:r>
              <w:rPr>
                <w:color w:val="000000"/>
                <w:sz w:val="21"/>
              </w:rPr>
              <w:t>GET /api/water-footprint/stats/:region</w:t>
            </w:r>
          </w:p>
        </w:tc>
        <w:tc>
          <w:tcPr>
            <w:tcW w:w="2460" w:type="dxa"/>
            <w:shd w:val="clear" w:color="auto" w:fill="F2F6F8"/>
            <w:tcMar>
              <w:top w:w="85" w:type="dxa"/>
              <w:left w:w="100" w:type="dxa"/>
              <w:bottom w:w="85" w:type="dxa"/>
              <w:right w:w="100" w:type="dxa"/>
            </w:tcMar>
            <w:vAlign w:val="center"/>
          </w:tcPr>
          <w:p w14:paraId="7657881C" w14:textId="77777777" w:rsidR="006A45BD" w:rsidRDefault="00D920B7">
            <w:pPr>
              <w:spacing w:after="0" w:line="240" w:lineRule="auto"/>
              <w:jc w:val="left"/>
            </w:pPr>
            <w:r>
              <w:rPr>
                <w:color w:val="000000"/>
                <w:sz w:val="21"/>
              </w:rPr>
              <w:t>Catalogue coverage/statistics.</w:t>
            </w:r>
          </w:p>
        </w:tc>
        <w:tc>
          <w:tcPr>
            <w:tcW w:w="2660" w:type="dxa"/>
            <w:shd w:val="clear" w:color="auto" w:fill="F2F6F8"/>
            <w:tcMar>
              <w:top w:w="85" w:type="dxa"/>
              <w:left w:w="100" w:type="dxa"/>
              <w:bottom w:w="85" w:type="dxa"/>
              <w:right w:w="100" w:type="dxa"/>
            </w:tcMar>
            <w:vAlign w:val="center"/>
          </w:tcPr>
          <w:p w14:paraId="170D8865" w14:textId="77777777" w:rsidR="006A45BD" w:rsidRDefault="00D920B7">
            <w:pPr>
              <w:spacing w:after="0" w:line="240" w:lineRule="auto"/>
              <w:jc w:val="left"/>
            </w:pPr>
            <w:r>
              <w:rPr>
                <w:color w:val="000000"/>
                <w:sz w:val="21"/>
              </w:rPr>
              <w:t>Not project users, WEI+ or water savings.</w:t>
            </w:r>
          </w:p>
        </w:tc>
      </w:tr>
      <w:tr w:rsidR="006A45BD" w14:paraId="02E151A3" w14:textId="77777777">
        <w:trPr>
          <w:cantSplit/>
          <w:jc w:val="center"/>
        </w:trPr>
        <w:tc>
          <w:tcPr>
            <w:tcW w:w="3220" w:type="dxa"/>
            <w:shd w:val="clear" w:color="auto" w:fill="FFFFFF"/>
            <w:tcMar>
              <w:top w:w="85" w:type="dxa"/>
              <w:left w:w="100" w:type="dxa"/>
              <w:bottom w:w="85" w:type="dxa"/>
              <w:right w:w="100" w:type="dxa"/>
            </w:tcMar>
            <w:vAlign w:val="center"/>
          </w:tcPr>
          <w:p w14:paraId="261B3C5D" w14:textId="77777777" w:rsidR="006A45BD" w:rsidRDefault="00D920B7">
            <w:pPr>
              <w:spacing w:after="0" w:line="240" w:lineRule="auto"/>
              <w:jc w:val="left"/>
            </w:pPr>
            <w:r>
              <w:rPr>
                <w:color w:val="000000"/>
                <w:sz w:val="21"/>
              </w:rPr>
              <w:t xml:space="preserve">GET </w:t>
            </w:r>
            <w:r>
              <w:rPr>
                <w:color w:val="000000"/>
                <w:sz w:val="21"/>
              </w:rPr>
              <w:t>/api/water-footprint/recipes and /recipes/:id</w:t>
            </w:r>
          </w:p>
        </w:tc>
        <w:tc>
          <w:tcPr>
            <w:tcW w:w="2460" w:type="dxa"/>
            <w:shd w:val="clear" w:color="auto" w:fill="FFFFFF"/>
            <w:tcMar>
              <w:top w:w="85" w:type="dxa"/>
              <w:left w:w="100" w:type="dxa"/>
              <w:bottom w:w="85" w:type="dxa"/>
              <w:right w:w="100" w:type="dxa"/>
            </w:tcMar>
            <w:vAlign w:val="center"/>
          </w:tcPr>
          <w:p w14:paraId="7DE778D9" w14:textId="77777777" w:rsidR="006A45BD" w:rsidRDefault="00D920B7">
            <w:pPr>
              <w:spacing w:after="0" w:line="240" w:lineRule="auto"/>
              <w:jc w:val="left"/>
            </w:pPr>
            <w:r>
              <w:rPr>
                <w:color w:val="000000"/>
                <w:sz w:val="21"/>
              </w:rPr>
              <w:t>Authenticated user-owned recipe snapshots.</w:t>
            </w:r>
          </w:p>
        </w:tc>
        <w:tc>
          <w:tcPr>
            <w:tcW w:w="2660" w:type="dxa"/>
            <w:shd w:val="clear" w:color="auto" w:fill="FFFFFF"/>
            <w:tcMar>
              <w:top w:w="85" w:type="dxa"/>
              <w:left w:w="100" w:type="dxa"/>
              <w:bottom w:w="85" w:type="dxa"/>
              <w:right w:w="100" w:type="dxa"/>
            </w:tcMar>
            <w:vAlign w:val="center"/>
          </w:tcPr>
          <w:p w14:paraId="34141E76" w14:textId="77777777" w:rsidR="006A45BD" w:rsidRDefault="00D920B7">
            <w:pPr>
              <w:spacing w:after="0" w:line="240" w:lineRule="auto"/>
              <w:jc w:val="left"/>
            </w:pPr>
            <w:r>
              <w:rPr>
                <w:color w:val="000000"/>
                <w:sz w:val="21"/>
              </w:rPr>
              <w:t>Not project-wide reporting; enforce pagination and ownership. No existing indicator aggregation endpoint.</w:t>
            </w:r>
          </w:p>
        </w:tc>
      </w:tr>
      <w:tr w:rsidR="006A45BD" w14:paraId="4EB69098" w14:textId="77777777">
        <w:trPr>
          <w:cantSplit/>
          <w:jc w:val="center"/>
        </w:trPr>
        <w:tc>
          <w:tcPr>
            <w:tcW w:w="3220" w:type="dxa"/>
            <w:shd w:val="clear" w:color="auto" w:fill="F2F6F8"/>
            <w:tcMar>
              <w:top w:w="85" w:type="dxa"/>
              <w:left w:w="100" w:type="dxa"/>
              <w:bottom w:w="85" w:type="dxa"/>
              <w:right w:w="100" w:type="dxa"/>
            </w:tcMar>
            <w:vAlign w:val="center"/>
          </w:tcPr>
          <w:p w14:paraId="1905999B" w14:textId="77777777" w:rsidR="006A45BD" w:rsidRDefault="00D920B7">
            <w:pPr>
              <w:spacing w:after="0" w:line="240" w:lineRule="auto"/>
              <w:jc w:val="left"/>
            </w:pPr>
            <w:r>
              <w:rPr>
                <w:color w:val="000000"/>
                <w:sz w:val="21"/>
              </w:rPr>
              <w:t>GET /api/weekly-menus and /:id</w:t>
            </w:r>
          </w:p>
        </w:tc>
        <w:tc>
          <w:tcPr>
            <w:tcW w:w="2460" w:type="dxa"/>
            <w:shd w:val="clear" w:color="auto" w:fill="F2F6F8"/>
            <w:tcMar>
              <w:top w:w="85" w:type="dxa"/>
              <w:left w:w="100" w:type="dxa"/>
              <w:bottom w:w="85" w:type="dxa"/>
              <w:right w:w="100" w:type="dxa"/>
            </w:tcMar>
            <w:vAlign w:val="center"/>
          </w:tcPr>
          <w:p w14:paraId="06E29C6A" w14:textId="77777777" w:rsidR="006A45BD" w:rsidRDefault="00D920B7">
            <w:pPr>
              <w:spacing w:after="0" w:line="240" w:lineRule="auto"/>
              <w:jc w:val="left"/>
            </w:pPr>
            <w:r>
              <w:rPr>
                <w:color w:val="000000"/>
                <w:sz w:val="21"/>
              </w:rPr>
              <w:t xml:space="preserve">Authenticated </w:t>
            </w:r>
            <w:r>
              <w:rPr>
                <w:color w:val="000000"/>
                <w:sz w:val="21"/>
              </w:rPr>
              <w:t>user-owned menu snapshots.</w:t>
            </w:r>
          </w:p>
        </w:tc>
        <w:tc>
          <w:tcPr>
            <w:tcW w:w="2660" w:type="dxa"/>
            <w:shd w:val="clear" w:color="auto" w:fill="F2F6F8"/>
            <w:tcMar>
              <w:top w:w="85" w:type="dxa"/>
              <w:left w:w="100" w:type="dxa"/>
              <w:bottom w:w="85" w:type="dxa"/>
              <w:right w:w="100" w:type="dxa"/>
            </w:tcMar>
            <w:vAlign w:val="center"/>
          </w:tcPr>
          <w:p w14:paraId="3E975577" w14:textId="77777777" w:rsidR="006A45BD" w:rsidRDefault="00D920B7">
            <w:pPr>
              <w:spacing w:after="0" w:line="240" w:lineRule="auto"/>
              <w:jc w:val="left"/>
            </w:pPr>
            <w:r>
              <w:rPr>
                <w:color w:val="000000"/>
                <w:sz w:val="21"/>
              </w:rPr>
              <w:t>Not an observed diet or validated pair dataset.</w:t>
            </w:r>
          </w:p>
        </w:tc>
      </w:tr>
      <w:tr w:rsidR="006A45BD" w14:paraId="40FD0EFA" w14:textId="77777777">
        <w:trPr>
          <w:cantSplit/>
          <w:jc w:val="center"/>
        </w:trPr>
        <w:tc>
          <w:tcPr>
            <w:tcW w:w="3220" w:type="dxa"/>
            <w:shd w:val="clear" w:color="auto" w:fill="FFFFFF"/>
            <w:tcMar>
              <w:top w:w="85" w:type="dxa"/>
              <w:left w:w="100" w:type="dxa"/>
              <w:bottom w:w="85" w:type="dxa"/>
              <w:right w:w="100" w:type="dxa"/>
            </w:tcMar>
            <w:vAlign w:val="center"/>
          </w:tcPr>
          <w:p w14:paraId="4CD5F34E" w14:textId="77777777" w:rsidR="006A45BD" w:rsidRDefault="00D920B7">
            <w:pPr>
              <w:spacing w:after="0" w:line="240" w:lineRule="auto"/>
              <w:jc w:val="left"/>
            </w:pPr>
            <w:r>
              <w:rPr>
                <w:color w:val="000000"/>
                <w:sz w:val="21"/>
              </w:rPr>
              <w:t>POST /api/water-footprint/calculate, /calculate/andalusia, /calculate/custom</w:t>
            </w:r>
          </w:p>
        </w:tc>
        <w:tc>
          <w:tcPr>
            <w:tcW w:w="2460" w:type="dxa"/>
            <w:shd w:val="clear" w:color="auto" w:fill="FFFFFF"/>
            <w:tcMar>
              <w:top w:w="85" w:type="dxa"/>
              <w:left w:w="100" w:type="dxa"/>
              <w:bottom w:w="85" w:type="dxa"/>
              <w:right w:w="100" w:type="dxa"/>
            </w:tcMar>
            <w:vAlign w:val="center"/>
          </w:tcPr>
          <w:p w14:paraId="46E3DA3E" w14:textId="77777777" w:rsidR="006A45BD" w:rsidRDefault="00D920B7">
            <w:pPr>
              <w:spacing w:after="0" w:line="240" w:lineRule="auto"/>
              <w:jc w:val="left"/>
            </w:pPr>
            <w:r>
              <w:rPr>
                <w:color w:val="000000"/>
                <w:sz w:val="21"/>
              </w:rPr>
              <w:t>Existing footprint service logic can inform a future evaluator.</w:t>
            </w:r>
          </w:p>
        </w:tc>
        <w:tc>
          <w:tcPr>
            <w:tcW w:w="2660" w:type="dxa"/>
            <w:shd w:val="clear" w:color="auto" w:fill="FFFFFF"/>
            <w:tcMar>
              <w:top w:w="85" w:type="dxa"/>
              <w:left w:w="100" w:type="dxa"/>
              <w:bottom w:w="85" w:type="dxa"/>
              <w:right w:w="100" w:type="dxa"/>
            </w:tcMar>
            <w:vAlign w:val="center"/>
          </w:tcPr>
          <w:p w14:paraId="2E384D5F" w14:textId="77777777" w:rsidR="006A45BD" w:rsidRDefault="00D920B7">
            <w:pPr>
              <w:spacing w:after="0" w:line="240" w:lineRule="auto"/>
              <w:jc w:val="left"/>
            </w:pPr>
            <w:r>
              <w:rPr>
                <w:color w:val="000000"/>
                <w:sz w:val="21"/>
              </w:rPr>
              <w:t xml:space="preserve">These calls persist </w:t>
            </w:r>
            <w:r>
              <w:rPr>
                <w:color w:val="000000"/>
                <w:sz w:val="21"/>
              </w:rPr>
              <w:t>calculation records. Never call them to perform read-only extraction or replay historical usage.</w:t>
            </w:r>
          </w:p>
        </w:tc>
      </w:tr>
      <w:tr w:rsidR="006A45BD" w14:paraId="6736D854" w14:textId="77777777">
        <w:trPr>
          <w:cantSplit/>
          <w:jc w:val="center"/>
        </w:trPr>
        <w:tc>
          <w:tcPr>
            <w:tcW w:w="3220" w:type="dxa"/>
            <w:shd w:val="clear" w:color="auto" w:fill="F2F6F8"/>
            <w:tcMar>
              <w:top w:w="85" w:type="dxa"/>
              <w:left w:w="100" w:type="dxa"/>
              <w:bottom w:w="85" w:type="dxa"/>
              <w:right w:w="100" w:type="dxa"/>
            </w:tcMar>
            <w:vAlign w:val="center"/>
          </w:tcPr>
          <w:p w14:paraId="47346203" w14:textId="77777777" w:rsidR="006A45BD" w:rsidRDefault="00D920B7">
            <w:pPr>
              <w:spacing w:after="0" w:line="240" w:lineRule="auto"/>
              <w:jc w:val="left"/>
            </w:pPr>
            <w:r>
              <w:rPr>
                <w:color w:val="000000"/>
                <w:sz w:val="21"/>
              </w:rPr>
              <w:t>PostHog insight/export</w:t>
            </w:r>
          </w:p>
        </w:tc>
        <w:tc>
          <w:tcPr>
            <w:tcW w:w="2460" w:type="dxa"/>
            <w:shd w:val="clear" w:color="auto" w:fill="F2F6F8"/>
            <w:tcMar>
              <w:top w:w="85" w:type="dxa"/>
              <w:left w:w="100" w:type="dxa"/>
              <w:bottom w:w="85" w:type="dxa"/>
              <w:right w:w="100" w:type="dxa"/>
            </w:tcMar>
            <w:vAlign w:val="center"/>
          </w:tcPr>
          <w:p w14:paraId="3FA0FB16" w14:textId="77777777" w:rsidR="006A45BD" w:rsidRDefault="00D920B7">
            <w:pPr>
              <w:spacing w:after="0" w:line="240" w:lineRule="auto"/>
              <w:jc w:val="left"/>
            </w:pPr>
            <w:r>
              <w:rPr>
                <w:color w:val="000000"/>
                <w:sz w:val="21"/>
              </w:rPr>
              <w:t>Captured period identity/session/event aggregation.</w:t>
            </w:r>
          </w:p>
        </w:tc>
        <w:tc>
          <w:tcPr>
            <w:tcW w:w="2660" w:type="dxa"/>
            <w:shd w:val="clear" w:color="auto" w:fill="F2F6F8"/>
            <w:tcMar>
              <w:top w:w="85" w:type="dxa"/>
              <w:left w:w="100" w:type="dxa"/>
              <w:bottom w:w="85" w:type="dxa"/>
              <w:right w:w="100" w:type="dxa"/>
            </w:tcMar>
            <w:vAlign w:val="center"/>
          </w:tcPr>
          <w:p w14:paraId="1DCD4759" w14:textId="77777777" w:rsidR="006A45BD" w:rsidRDefault="00D920B7">
            <w:pPr>
              <w:spacing w:after="0" w:line="240" w:lineRule="auto"/>
              <w:jc w:val="left"/>
            </w:pPr>
            <w:r>
              <w:rPr>
                <w:color w:val="000000"/>
                <w:sz w:val="21"/>
              </w:rPr>
              <w:t xml:space="preserve">Requires correct project, metric settings, coverage and authorised access. </w:t>
            </w:r>
            <w:r>
              <w:rPr>
                <w:color w:val="000000"/>
                <w:sz w:val="21"/>
              </w:rPr>
              <w:t>Capture key/host is not read access.</w:t>
            </w:r>
          </w:p>
        </w:tc>
      </w:tr>
      <w:tr w:rsidR="006A45BD" w14:paraId="149EDF1D" w14:textId="77777777">
        <w:trPr>
          <w:cantSplit/>
          <w:jc w:val="center"/>
        </w:trPr>
        <w:tc>
          <w:tcPr>
            <w:tcW w:w="3220" w:type="dxa"/>
            <w:shd w:val="clear" w:color="auto" w:fill="FFFFFF"/>
            <w:tcMar>
              <w:top w:w="85" w:type="dxa"/>
              <w:left w:w="100" w:type="dxa"/>
              <w:bottom w:w="85" w:type="dxa"/>
              <w:right w:w="100" w:type="dxa"/>
            </w:tcMar>
            <w:vAlign w:val="center"/>
          </w:tcPr>
          <w:p w14:paraId="3E15F4CB" w14:textId="77777777" w:rsidR="006A45BD" w:rsidRDefault="00D920B7">
            <w:pPr>
              <w:spacing w:after="0" w:line="240" w:lineRule="auto"/>
              <w:jc w:val="left"/>
            </w:pPr>
            <w:r>
              <w:rPr>
                <w:color w:val="000000"/>
                <w:sz w:val="21"/>
              </w:rPr>
              <w:t>GET /api/user/stats</w:t>
            </w:r>
          </w:p>
        </w:tc>
        <w:tc>
          <w:tcPr>
            <w:tcW w:w="2460" w:type="dxa"/>
            <w:shd w:val="clear" w:color="auto" w:fill="FFFFFF"/>
            <w:tcMar>
              <w:top w:w="85" w:type="dxa"/>
              <w:left w:w="100" w:type="dxa"/>
              <w:bottom w:w="85" w:type="dxa"/>
              <w:right w:w="100" w:type="dxa"/>
            </w:tcMar>
            <w:vAlign w:val="center"/>
          </w:tcPr>
          <w:p w14:paraId="6B5CE743" w14:textId="77777777" w:rsidR="006A45BD" w:rsidRDefault="00D920B7">
            <w:pPr>
              <w:spacing w:after="0" w:line="240" w:lineRule="auto"/>
              <w:jc w:val="left"/>
            </w:pPr>
            <w:r>
              <w:rPr>
                <w:color w:val="000000"/>
                <w:sz w:val="21"/>
              </w:rPr>
              <w:t>Frontend service declaration only.</w:t>
            </w:r>
          </w:p>
        </w:tc>
        <w:tc>
          <w:tcPr>
            <w:tcW w:w="2660" w:type="dxa"/>
            <w:shd w:val="clear" w:color="auto" w:fill="FFFFFF"/>
            <w:tcMar>
              <w:top w:w="85" w:type="dxa"/>
              <w:left w:w="100" w:type="dxa"/>
              <w:bottom w:w="85" w:type="dxa"/>
              <w:right w:w="100" w:type="dxa"/>
            </w:tcMar>
            <w:vAlign w:val="center"/>
          </w:tcPr>
          <w:p w14:paraId="6620D52C" w14:textId="77777777" w:rsidR="006A45BD" w:rsidRDefault="00D920B7">
            <w:pPr>
              <w:spacing w:after="0" w:line="240" w:lineRule="auto"/>
              <w:jc w:val="left"/>
            </w:pPr>
            <w:r>
              <w:rPr>
                <w:color w:val="000000"/>
                <w:sz w:val="21"/>
              </w:rPr>
              <w:t>Not mounted in the backend; cannot be selected as an existing reporting source.</w:t>
            </w:r>
          </w:p>
        </w:tc>
      </w:tr>
    </w:tbl>
    <w:p w14:paraId="2DE2251E" w14:textId="77777777" w:rsidR="006A45BD" w:rsidRDefault="00D920B7">
      <w:pPr>
        <w:pStyle w:val="Descripcin"/>
        <w:spacing w:before="80" w:after="160"/>
      </w:pPr>
      <w:r>
        <w:t xml:space="preserve">Table 4. Paths are ANFORA internal routes read from source, not RURACTIVE </w:t>
      </w:r>
      <w:r>
        <w:t>endpoints. No calls were executed. [T04-T06]</w:t>
      </w:r>
    </w:p>
    <w:p w14:paraId="57B6B19C" w14:textId="77777777" w:rsidR="006A45BD" w:rsidRDefault="00D920B7">
      <w:pPr>
        <w:spacing w:after="140" w:line="276" w:lineRule="auto"/>
      </w:pPr>
      <w:r>
        <w:t>The targeted search covered 187 local source, documentation and example files, relevant filenames in the project/Mid Validation/Downloads, and the older mail-response document. RURACTIVE references located in ru</w:t>
      </w:r>
      <w:r>
        <w:t>ntime assets were presentation text rather than an integration. No receiver client, per-indicator mapping, scheduled sender, durable delivery ledger or receiver-specific contract was located in these repositories. A connector deployed outside the inspected</w:t>
      </w:r>
      <w:r>
        <w:t xml:space="preserve"> files cannot be ruled out. [T10, T14]</w:t>
      </w:r>
    </w:p>
    <w:p w14:paraId="16C892FA" w14:textId="77777777" w:rsidR="006A45BD" w:rsidRDefault="00D920B7">
      <w:pPr>
        <w:spacing w:after="140" w:line="276" w:lineRule="auto"/>
      </w:pPr>
      <w:r>
        <w:t>Missing work includes source-specific aggregate extractors; an approved indicator/period registry; validation and exclusion rules; a review/release gate; receiver authentication and request/response mapping; durable d</w:t>
      </w:r>
      <w:r>
        <w:t>eduplication and receipts; and sandbox testing. None is implemented by a browser download button, the internal JWT login or the current PostHog capture service. [T04-T06, T10]</w:t>
      </w:r>
    </w:p>
    <w:p w14:paraId="27BB4A7A" w14:textId="77777777" w:rsidR="006A45BD" w:rsidRDefault="00D920B7">
      <w:pPr>
        <w:pStyle w:val="Ttulo3"/>
        <w:pageBreakBefore/>
        <w:spacing w:before="0" w:after="160"/>
      </w:pPr>
      <w:bookmarkStart w:id="5" w:name="_Toc243473386"/>
      <w:r>
        <w:lastRenderedPageBreak/>
        <w:t>6 Minimal Hybrid Architecture</w:t>
      </w:r>
      <w:bookmarkEnd w:id="5"/>
    </w:p>
    <w:p w14:paraId="5724F300" w14:textId="77777777" w:rsidR="006A45BD" w:rsidRDefault="00D920B7">
      <w:pPr>
        <w:spacing w:after="140" w:line="276" w:lineRule="auto"/>
      </w:pPr>
      <w:r>
        <w:t xml:space="preserve">Use a small server-side Node ESM adapter, outside </w:t>
      </w:r>
      <w:r>
        <w:t xml:space="preserve">the live request path, with no new public endpoint and no new service dependency initially. Start with owner-approved exports and prepared observations; a future authorised read-only MongoDB/PostHog extractor can replace manual extraction without changing </w:t>
      </w:r>
      <w:r>
        <w:t>the validation boundary. Existing Mongoose/Winston and standard Node modules are sufficient for the initial design. Built-in fetch and AbortSignal may supply HTTP/timeouts if the actual server runtime supports them; its version must be checked before imple</w:t>
      </w:r>
      <w:r>
        <w:t>mentation. No runtime upgrade is assumed. [T04, T12]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0"/>
        <w:gridCol w:w="6000"/>
      </w:tblGrid>
      <w:tr w:rsidR="006A45BD" w14:paraId="5BAD99F7" w14:textId="77777777">
        <w:trPr>
          <w:cantSplit/>
          <w:tblHeader/>
          <w:jc w:val="center"/>
        </w:trPr>
        <w:tc>
          <w:tcPr>
            <w:tcW w:w="2340" w:type="dxa"/>
            <w:shd w:val="clear" w:color="auto" w:fill="156082"/>
            <w:tcMar>
              <w:top w:w="85" w:type="dxa"/>
              <w:left w:w="100" w:type="dxa"/>
              <w:bottom w:w="85" w:type="dxa"/>
              <w:right w:w="100" w:type="dxa"/>
            </w:tcMar>
            <w:vAlign w:val="center"/>
          </w:tcPr>
          <w:p w14:paraId="3F8B282F" w14:textId="77777777" w:rsidR="006A45BD" w:rsidRDefault="00D920B7">
            <w:pPr>
              <w:spacing w:after="0" w:line="240" w:lineRule="auto"/>
              <w:jc w:val="left"/>
            </w:pPr>
            <w:r>
              <w:rPr>
                <w:b/>
                <w:color w:val="FFFFFF"/>
                <w:sz w:val="21"/>
              </w:rPr>
              <w:t>Stage</w:t>
            </w:r>
          </w:p>
        </w:tc>
        <w:tc>
          <w:tcPr>
            <w:tcW w:w="6000" w:type="dxa"/>
            <w:shd w:val="clear" w:color="auto" w:fill="156082"/>
            <w:tcMar>
              <w:top w:w="85" w:type="dxa"/>
              <w:left w:w="100" w:type="dxa"/>
              <w:bottom w:w="85" w:type="dxa"/>
              <w:right w:w="100" w:type="dxa"/>
            </w:tcMar>
            <w:vAlign w:val="center"/>
          </w:tcPr>
          <w:p w14:paraId="58915D1A" w14:textId="77777777" w:rsidR="006A45BD" w:rsidRDefault="00D920B7">
            <w:pPr>
              <w:spacing w:after="0" w:line="240" w:lineRule="auto"/>
              <w:jc w:val="left"/>
            </w:pPr>
            <w:r>
              <w:rPr>
                <w:b/>
                <w:color w:val="FFFFFF"/>
                <w:sz w:val="21"/>
              </w:rPr>
              <w:t>Recommended behaviour</w:t>
            </w:r>
          </w:p>
        </w:tc>
      </w:tr>
      <w:tr w:rsidR="006A45BD" w14:paraId="7D8EDCE0" w14:textId="77777777">
        <w:trPr>
          <w:cantSplit/>
          <w:jc w:val="center"/>
        </w:trPr>
        <w:tc>
          <w:tcPr>
            <w:tcW w:w="2340" w:type="dxa"/>
            <w:shd w:val="clear" w:color="auto" w:fill="FFFFFF"/>
            <w:tcMar>
              <w:top w:w="85" w:type="dxa"/>
              <w:left w:w="100" w:type="dxa"/>
              <w:bottom w:w="85" w:type="dxa"/>
              <w:right w:w="100" w:type="dxa"/>
            </w:tcMar>
            <w:vAlign w:val="center"/>
          </w:tcPr>
          <w:p w14:paraId="2DF88BAC" w14:textId="77777777" w:rsidR="006A45BD" w:rsidRDefault="00D920B7">
            <w:pPr>
              <w:spacing w:after="0" w:line="240" w:lineRule="auto"/>
              <w:jc w:val="left"/>
            </w:pPr>
            <w:r>
              <w:rPr>
                <w:color w:val="000000"/>
                <w:sz w:val="21"/>
              </w:rPr>
              <w:t>Extract</w:t>
            </w:r>
          </w:p>
        </w:tc>
        <w:tc>
          <w:tcPr>
            <w:tcW w:w="6000" w:type="dxa"/>
            <w:shd w:val="clear" w:color="auto" w:fill="FFFFFF"/>
            <w:tcMar>
              <w:top w:w="85" w:type="dxa"/>
              <w:left w:w="100" w:type="dxa"/>
              <w:bottom w:w="85" w:type="dxa"/>
              <w:right w:w="100" w:type="dxa"/>
            </w:tcMar>
            <w:vAlign w:val="center"/>
          </w:tcPr>
          <w:p w14:paraId="33131163" w14:textId="77777777" w:rsidR="006A45BD" w:rsidRDefault="00D920B7">
            <w:pPr>
              <w:spacing w:after="0" w:line="240" w:lineRule="auto"/>
              <w:jc w:val="left"/>
            </w:pPr>
            <w:r>
              <w:rPr>
                <w:color w:val="000000"/>
                <w:sz w:val="21"/>
              </w:rPr>
              <w:t>Read bounded snapshots/approved exports only; retain source version, extraction time and hash. Never invoke calculation/save/login requests as extraction.</w:t>
            </w:r>
          </w:p>
        </w:tc>
      </w:tr>
      <w:tr w:rsidR="006A45BD" w14:paraId="0F91ABC6" w14:textId="77777777">
        <w:trPr>
          <w:cantSplit/>
          <w:jc w:val="center"/>
        </w:trPr>
        <w:tc>
          <w:tcPr>
            <w:tcW w:w="2340" w:type="dxa"/>
            <w:shd w:val="clear" w:color="auto" w:fill="F2F6F8"/>
            <w:tcMar>
              <w:top w:w="85" w:type="dxa"/>
              <w:left w:w="100" w:type="dxa"/>
              <w:bottom w:w="85" w:type="dxa"/>
              <w:right w:w="100" w:type="dxa"/>
            </w:tcMar>
            <w:vAlign w:val="center"/>
          </w:tcPr>
          <w:p w14:paraId="6CBC7C60" w14:textId="77777777" w:rsidR="006A45BD" w:rsidRDefault="00D920B7">
            <w:pPr>
              <w:spacing w:after="0" w:line="240" w:lineRule="auto"/>
              <w:jc w:val="left"/>
            </w:pPr>
            <w:r>
              <w:rPr>
                <w:color w:val="000000"/>
                <w:sz w:val="21"/>
              </w:rPr>
              <w:t>Validate and transform</w:t>
            </w:r>
          </w:p>
        </w:tc>
        <w:tc>
          <w:tcPr>
            <w:tcW w:w="6000" w:type="dxa"/>
            <w:shd w:val="clear" w:color="auto" w:fill="F2F6F8"/>
            <w:tcMar>
              <w:top w:w="85" w:type="dxa"/>
              <w:left w:w="100" w:type="dxa"/>
              <w:bottom w:w="85" w:type="dxa"/>
              <w:right w:w="100" w:type="dxa"/>
            </w:tcMar>
            <w:vAlign w:val="center"/>
          </w:tcPr>
          <w:p w14:paraId="15FC6A96" w14:textId="77777777" w:rsidR="006A45BD" w:rsidRDefault="00D920B7">
            <w:pPr>
              <w:spacing w:after="0" w:line="240" w:lineRule="auto"/>
              <w:jc w:val="left"/>
            </w:pPr>
            <w:r>
              <w:rPr>
                <w:color w:val="000000"/>
                <w:sz w:val="21"/>
              </w:rPr>
              <w:t>Resolve official indicator IDs; enforce units and full observation windows; exclude synthetic/internal activity without assuming unknown records are external. Retain unknown/missing status.</w:t>
            </w:r>
          </w:p>
        </w:tc>
      </w:tr>
      <w:tr w:rsidR="006A45BD" w14:paraId="6635E016" w14:textId="77777777">
        <w:trPr>
          <w:cantSplit/>
          <w:jc w:val="center"/>
        </w:trPr>
        <w:tc>
          <w:tcPr>
            <w:tcW w:w="2340" w:type="dxa"/>
            <w:shd w:val="clear" w:color="auto" w:fill="FFFFFF"/>
            <w:tcMar>
              <w:top w:w="85" w:type="dxa"/>
              <w:left w:w="100" w:type="dxa"/>
              <w:bottom w:w="85" w:type="dxa"/>
              <w:right w:w="100" w:type="dxa"/>
            </w:tcMar>
            <w:vAlign w:val="center"/>
          </w:tcPr>
          <w:p w14:paraId="62779602" w14:textId="77777777" w:rsidR="006A45BD" w:rsidRDefault="00D920B7">
            <w:pPr>
              <w:spacing w:after="0" w:line="240" w:lineRule="auto"/>
              <w:jc w:val="left"/>
            </w:pPr>
            <w:r>
              <w:rPr>
                <w:color w:val="000000"/>
                <w:sz w:val="21"/>
              </w:rPr>
              <w:t>Prepare and approve</w:t>
            </w:r>
          </w:p>
        </w:tc>
        <w:tc>
          <w:tcPr>
            <w:tcW w:w="6000" w:type="dxa"/>
            <w:shd w:val="clear" w:color="auto" w:fill="FFFFFF"/>
            <w:tcMar>
              <w:top w:w="85" w:type="dxa"/>
              <w:left w:w="100" w:type="dxa"/>
              <w:bottom w:w="85" w:type="dxa"/>
              <w:right w:w="100" w:type="dxa"/>
            </w:tcMar>
            <w:vAlign w:val="center"/>
          </w:tcPr>
          <w:p w14:paraId="20C2A4B8" w14:textId="77777777" w:rsidR="006A45BD" w:rsidRDefault="00D920B7">
            <w:pPr>
              <w:spacing w:after="0" w:line="240" w:lineRule="auto"/>
              <w:jc w:val="left"/>
            </w:pPr>
            <w:r>
              <w:rPr>
                <w:color w:val="000000"/>
                <w:sz w:val="21"/>
              </w:rPr>
              <w:t xml:space="preserve">Freeze one </w:t>
            </w:r>
            <w:r>
              <w:rPr>
                <w:color w:val="000000"/>
                <w:sz w:val="21"/>
              </w:rPr>
              <w:t>minimal observation with provenance, quality status, method version and reviewer decision. Human approval precedes release, including declared zeros.</w:t>
            </w:r>
          </w:p>
        </w:tc>
      </w:tr>
      <w:tr w:rsidR="006A45BD" w14:paraId="2F54AED1" w14:textId="77777777">
        <w:trPr>
          <w:cantSplit/>
          <w:jc w:val="center"/>
        </w:trPr>
        <w:tc>
          <w:tcPr>
            <w:tcW w:w="2340" w:type="dxa"/>
            <w:shd w:val="clear" w:color="auto" w:fill="F2F6F8"/>
            <w:tcMar>
              <w:top w:w="85" w:type="dxa"/>
              <w:left w:w="100" w:type="dxa"/>
              <w:bottom w:w="85" w:type="dxa"/>
              <w:right w:w="100" w:type="dxa"/>
            </w:tcMar>
            <w:vAlign w:val="center"/>
          </w:tcPr>
          <w:p w14:paraId="3BE2A381" w14:textId="77777777" w:rsidR="006A45BD" w:rsidRDefault="00D920B7">
            <w:pPr>
              <w:spacing w:after="0" w:line="240" w:lineRule="auto"/>
              <w:jc w:val="left"/>
            </w:pPr>
            <w:r>
              <w:rPr>
                <w:color w:val="000000"/>
                <w:sz w:val="21"/>
              </w:rPr>
              <w:t>Manual AMT branch</w:t>
            </w:r>
          </w:p>
        </w:tc>
        <w:tc>
          <w:tcPr>
            <w:tcW w:w="6000" w:type="dxa"/>
            <w:shd w:val="clear" w:color="auto" w:fill="F2F6F8"/>
            <w:tcMar>
              <w:top w:w="85" w:type="dxa"/>
              <w:left w:w="100" w:type="dxa"/>
              <w:bottom w:w="85" w:type="dxa"/>
              <w:right w:w="100" w:type="dxa"/>
            </w:tcMar>
            <w:vAlign w:val="center"/>
          </w:tcPr>
          <w:p w14:paraId="00A75AD8" w14:textId="77777777" w:rsidR="006A45BD" w:rsidRDefault="00D920B7">
            <w:pPr>
              <w:spacing w:after="0" w:line="240" w:lineRule="auto"/>
              <w:jc w:val="left"/>
            </w:pPr>
            <w:r>
              <w:rPr>
                <w:color w:val="000000"/>
                <w:sz w:val="21"/>
              </w:rPr>
              <w:t>Accountable user enters the approved value/status after access and encoding are confirm</w:t>
            </w:r>
            <w:r>
              <w:rPr>
                <w:color w:val="000000"/>
                <w:sz w:val="21"/>
              </w:rPr>
              <w:t>ed. Record the manual reference/receipt in the same submission register.</w:t>
            </w:r>
          </w:p>
        </w:tc>
      </w:tr>
      <w:tr w:rsidR="006A45BD" w14:paraId="34090255" w14:textId="77777777">
        <w:trPr>
          <w:cantSplit/>
          <w:jc w:val="center"/>
        </w:trPr>
        <w:tc>
          <w:tcPr>
            <w:tcW w:w="2340" w:type="dxa"/>
            <w:shd w:val="clear" w:color="auto" w:fill="FFFFFF"/>
            <w:tcMar>
              <w:top w:w="85" w:type="dxa"/>
              <w:left w:w="100" w:type="dxa"/>
              <w:bottom w:w="85" w:type="dxa"/>
              <w:right w:w="100" w:type="dxa"/>
            </w:tcMar>
            <w:vAlign w:val="center"/>
          </w:tcPr>
          <w:p w14:paraId="5EC3510E" w14:textId="77777777" w:rsidR="006A45BD" w:rsidRDefault="00D920B7">
            <w:pPr>
              <w:spacing w:after="0" w:line="240" w:lineRule="auto"/>
              <w:jc w:val="left"/>
            </w:pPr>
            <w:r>
              <w:rPr>
                <w:color w:val="000000"/>
                <w:sz w:val="21"/>
              </w:rPr>
              <w:t>Automated API branch</w:t>
            </w:r>
          </w:p>
        </w:tc>
        <w:tc>
          <w:tcPr>
            <w:tcW w:w="6000" w:type="dxa"/>
            <w:shd w:val="clear" w:color="auto" w:fill="FFFFFF"/>
            <w:tcMar>
              <w:top w:w="85" w:type="dxa"/>
              <w:left w:w="100" w:type="dxa"/>
              <w:bottom w:w="85" w:type="dxa"/>
              <w:right w:w="100" w:type="dxa"/>
            </w:tcMar>
            <w:vAlign w:val="center"/>
          </w:tcPr>
          <w:p w14:paraId="06097638" w14:textId="77777777" w:rsidR="006A45BD" w:rsidRDefault="00D920B7">
            <w:pPr>
              <w:spacing w:after="0" w:line="240" w:lineRule="auto"/>
              <w:jc w:val="left"/>
            </w:pPr>
            <w:r>
              <w:rPr>
                <w:color w:val="000000"/>
                <w:sz w:val="21"/>
              </w:rPr>
              <w:t xml:space="preserve">Future sender transmits only approved aggregates to documented HTTPS destinations using the documented token flow. No ANFORA cookies or PostHog </w:t>
            </w:r>
            <w:r>
              <w:rPr>
                <w:color w:val="000000"/>
                <w:sz w:val="21"/>
              </w:rPr>
              <w:t>identifiers leave via this branch.</w:t>
            </w:r>
          </w:p>
        </w:tc>
      </w:tr>
      <w:tr w:rsidR="006A45BD" w14:paraId="75446A90" w14:textId="77777777">
        <w:trPr>
          <w:cantSplit/>
          <w:jc w:val="center"/>
        </w:trPr>
        <w:tc>
          <w:tcPr>
            <w:tcW w:w="2340" w:type="dxa"/>
            <w:shd w:val="clear" w:color="auto" w:fill="F2F6F8"/>
            <w:tcMar>
              <w:top w:w="85" w:type="dxa"/>
              <w:left w:w="100" w:type="dxa"/>
              <w:bottom w:w="85" w:type="dxa"/>
              <w:right w:w="100" w:type="dxa"/>
            </w:tcMar>
            <w:vAlign w:val="center"/>
          </w:tcPr>
          <w:p w14:paraId="58AB555D" w14:textId="77777777" w:rsidR="006A45BD" w:rsidRDefault="00D920B7">
            <w:pPr>
              <w:spacing w:after="0" w:line="240" w:lineRule="auto"/>
              <w:jc w:val="left"/>
            </w:pPr>
            <w:r>
              <w:rPr>
                <w:color w:val="000000"/>
                <w:sz w:val="21"/>
              </w:rPr>
              <w:t>Reconcile</w:t>
            </w:r>
          </w:p>
        </w:tc>
        <w:tc>
          <w:tcPr>
            <w:tcW w:w="6000" w:type="dxa"/>
            <w:shd w:val="clear" w:color="auto" w:fill="F2F6F8"/>
            <w:tcMar>
              <w:top w:w="85" w:type="dxa"/>
              <w:left w:w="100" w:type="dxa"/>
              <w:bottom w:w="85" w:type="dxa"/>
              <w:right w:w="100" w:type="dxa"/>
            </w:tcMar>
            <w:vAlign w:val="center"/>
          </w:tcPr>
          <w:p w14:paraId="3FF6AC7F" w14:textId="77777777" w:rsidR="006A45BD" w:rsidRDefault="00D920B7">
            <w:pPr>
              <w:spacing w:after="0" w:line="240" w:lineRule="auto"/>
              <w:jc w:val="left"/>
            </w:pPr>
            <w:r>
              <w:rPr>
                <w:color w:val="000000"/>
                <w:sz w:val="21"/>
              </w:rPr>
              <w:t>Persist receipt/uncertainty and compare AMT/API entries. One indicator-period observation has a single owning route; corrections use an agreed revision process.</w:t>
            </w:r>
          </w:p>
        </w:tc>
      </w:tr>
    </w:tbl>
    <w:p w14:paraId="5CB8FBC4" w14:textId="77777777" w:rsidR="006A45BD" w:rsidRDefault="00D920B7">
      <w:pPr>
        <w:pStyle w:val="Descripcin"/>
        <w:spacing w:before="80" w:after="160"/>
      </w:pPr>
      <w:r>
        <w:t xml:space="preserve">Table 5. Conceptual internal workflow; no </w:t>
      </w:r>
      <w:r>
        <w:t>RURACTIVE endpoint or wire schema is assumed.</w:t>
      </w:r>
    </w:p>
    <w:p w14:paraId="3F9F65F2" w14:textId="77777777" w:rsidR="006A45BD" w:rsidRDefault="00D920B7">
      <w:pPr>
        <w:pStyle w:val="Ttulo4"/>
        <w:spacing w:before="180" w:after="160"/>
      </w:pPr>
      <w:r>
        <w:t>6.1 Observation and Route Registry</w:t>
      </w:r>
    </w:p>
    <w:p w14:paraId="6116C34A" w14:textId="77777777" w:rsidR="006A45BD" w:rsidRDefault="00D920B7">
      <w:pPr>
        <w:spacing w:after="140" w:line="276" w:lineRule="auto"/>
      </w:pPr>
      <w:r>
        <w:t>Maintain a small approved registry linking each official code to the receiver’s actual identifier, project/location scope, definition, unit, target context, method, observatio</w:t>
      </w:r>
      <w:r>
        <w:t>n window, owner and route. Receiver IDs are not inferred from local MongoDB IDs. Conceptually retain value or missing status, source/coverage, internal exclusions, declaration versus measurement, method version, reviewer and extraction time. These are inte</w:t>
      </w:r>
      <w:r>
        <w:t>rnal design requirements, not a fabricated RURACTIVE request schema. Keep unsupported fields local until the receiver contract says how they are represented.</w:t>
      </w:r>
    </w:p>
    <w:p w14:paraId="414EC792" w14:textId="77777777" w:rsidR="006A45BD" w:rsidRDefault="00D920B7">
      <w:pPr>
        <w:spacing w:after="140" w:line="276" w:lineRule="auto"/>
      </w:pPr>
      <w:r>
        <w:lastRenderedPageBreak/>
        <w:t>Use a half-open time interval with a declared timezone. For this review the Madrid period is [2026</w:t>
      </w:r>
      <w:r>
        <w:t>-02-28T23:00Z, 2026-08-31T22:00Z). Store annual/seasonal/cohort observations separately: do not relabel a six-month job declaration as a final annual value. Compute period uniques across the whole agreed event set; document how sessions spanning a boundary</w:t>
      </w:r>
      <w:r>
        <w:t xml:space="preserve"> are assigned. A daily chart is not a full-window human census. [T03, T11]</w:t>
      </w:r>
    </w:p>
    <w:p w14:paraId="064B1624" w14:textId="77777777" w:rsidR="006A45BD" w:rsidRDefault="00D920B7">
      <w:pPr>
        <w:pStyle w:val="Ttulo4"/>
        <w:spacing w:before="180" w:after="160"/>
      </w:pPr>
      <w:r>
        <w:t>6.2 Authentication and Delivery State</w:t>
      </w:r>
    </w:p>
    <w:p w14:paraId="099D1E5A" w14:textId="77777777" w:rsidR="006A45BD" w:rsidRDefault="00D920B7">
      <w:pPr>
        <w:spacing w:after="140" w:line="276" w:lineRule="auto"/>
      </w:pPr>
      <w:r>
        <w:t xml:space="preserve">The transcript describes credentials exchanged for a token. Lasith must supply the actual login/refresh/expiry rules, destination, request and </w:t>
      </w:r>
      <w:r>
        <w:t>response schemas and permitted authentication placement. Do not presume OAuth, JWT, a Bearer header or a token endpoint. Keep secrets server-side with restricted access and redacted logs; no frontend build variables, source control or email token copies. P</w:t>
      </w:r>
      <w:r>
        <w:t>ostHog read access and the RURACTIVE token are separate credentials with separate permissions. [T02, T11]</w:t>
      </w:r>
    </w:p>
    <w:p w14:paraId="6BA209CE" w14:textId="77777777" w:rsidR="006A45BD" w:rsidRDefault="00D920B7">
      <w:pPr>
        <w:spacing w:after="140" w:line="276" w:lineRule="auto"/>
      </w:pPr>
      <w:r>
        <w:t>For a single low-volume worker, a private durable file-based ledger using atomic writes and a single-worker lock is sufficient initially; no MongoDB m</w:t>
      </w:r>
      <w:r>
        <w:t>igration or queue service is required. Record the logical indicator/scope/period key, observation revision and canonical payload hash, state, attempt time and documented receiver receipt. Suppress an identical approved observation across AMT and API. A cha</w:t>
      </w:r>
      <w:r>
        <w:t>nged value requires an explicit revision; the hash is a local duplicate control, not a receiver-supported idempotency header.</w:t>
      </w:r>
    </w:p>
    <w:p w14:paraId="425F1CFF" w14:textId="77777777" w:rsidR="006A45BD" w:rsidRDefault="00D920B7">
      <w:pPr>
        <w:spacing w:after="140" w:line="276" w:lineRule="auto"/>
      </w:pPr>
      <w:r>
        <w:t>After timeout or connection loss, classify delivery as unknown until documented read-back or Lasith confirms the outcome. Do not b</w:t>
      </w:r>
      <w:r>
        <w:t>lindly retry a potentially non-idempotent write. Receiver-side idempotency, update semantics and receipt/read-back must be confirmed; without them exactly-once delivery cannot be guaranteed. Bound timeouts and safe retries, respect documented throttling, a</w:t>
      </w:r>
      <w:r>
        <w:t>nd stop on authentication/schema failures. HTTP success alone is not formal indicator approval. [T13]</w:t>
      </w:r>
    </w:p>
    <w:p w14:paraId="55E83189" w14:textId="77777777" w:rsidR="006A45BD" w:rsidRDefault="00D920B7">
      <w:pPr>
        <w:pStyle w:val="Ttulo3"/>
        <w:pageBreakBefore/>
        <w:spacing w:before="0" w:after="160"/>
      </w:pPr>
      <w:bookmarkStart w:id="6" w:name="_Toc243473387"/>
      <w:r>
        <w:lastRenderedPageBreak/>
        <w:t>7 Safeguards and Implementation Gates</w:t>
      </w:r>
      <w:bookmarkEnd w:id="6"/>
    </w:p>
    <w:p w14:paraId="47C138E0" w14:textId="77777777" w:rsidR="006A45BD" w:rsidRDefault="00D920B7">
      <w:pPr>
        <w:spacing w:after="140" w:line="276" w:lineRule="auto"/>
      </w:pPr>
      <w:r>
        <w:t>Transmit only necessary indicator aggregates. Keep personal names, emails, raw MongoDB/PostHog IDs, event trails, re</w:t>
      </w:r>
      <w:r>
        <w:t>cipe free text and demographic responses inside the authorised source boundary. Pseudonymisation is not anonymisation; small cohorts may still disclose people even after aggregation. The responsible owner should agree purpose, access, retention and any sma</w:t>
      </w:r>
      <w:r>
        <w:t>ll-cell disclosure handling before sending group results. Do not silently replace an official value with a suppressed value or invented zero; agree the receiver’s encoding. [T04, T05, T15]</w:t>
      </w:r>
    </w:p>
    <w:p w14:paraId="5AAFB6A0" w14:textId="77777777" w:rsidR="006A45BD" w:rsidRDefault="00D920B7">
      <w:pPr>
        <w:spacing w:after="140" w:line="276" w:lineRule="auto"/>
      </w:pPr>
      <w:r>
        <w:t>INNOV_003 exclusion needs more than removal of known synthetic IDs:</w:t>
      </w:r>
      <w:r>
        <w:t xml:space="preserve"> retain accountable internal/QA classification, distinguish unknown records, and verify frontend hostname/source and backend environment. The frontend event set does not consistently supply a production environment field, so filtering only on environment=p</w:t>
      </w:r>
      <w:r>
        <w:t>roduction could drop valid browser events. Capture headers, consent and a database ID are not proof of an eligible external human. No historical gap is filled by generating new test activity. [T05, T07, T08]</w:t>
      </w:r>
    </w:p>
    <w:p w14:paraId="21FDFC62" w14:textId="77777777" w:rsidR="006A45BD" w:rsidRDefault="00D920B7">
      <w:pPr>
        <w:spacing w:after="140" w:line="276" w:lineRule="auto"/>
      </w:pPr>
      <w:r>
        <w:t xml:space="preserve">INNOV_004 must compare the same functional unit </w:t>
      </w:r>
      <w:r>
        <w:t>and servings, quantities, source/method versions and reference assumptions. Preserve source fallbacks. Label a simulated reduction as simulated, keep increases visible and treat a zero/absent baseline as invalid for percentage calculation rather than retur</w:t>
      </w:r>
      <w:r>
        <w:t>ning 0%. No retailer-origin comparison follows simply from global versus Andalusian data. Validation must not inherit the profile’s fixed benchmark or zero-clamping. [T04-T06]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20"/>
        <w:gridCol w:w="1780"/>
        <w:gridCol w:w="4740"/>
      </w:tblGrid>
      <w:tr w:rsidR="006A45BD" w14:paraId="08B62AA5" w14:textId="77777777">
        <w:trPr>
          <w:cantSplit/>
          <w:tblHeader/>
          <w:jc w:val="center"/>
        </w:trPr>
        <w:tc>
          <w:tcPr>
            <w:tcW w:w="1820" w:type="dxa"/>
            <w:shd w:val="clear" w:color="auto" w:fill="156082"/>
            <w:tcMar>
              <w:top w:w="85" w:type="dxa"/>
              <w:left w:w="100" w:type="dxa"/>
              <w:bottom w:w="85" w:type="dxa"/>
              <w:right w:w="100" w:type="dxa"/>
            </w:tcMar>
            <w:vAlign w:val="center"/>
          </w:tcPr>
          <w:p w14:paraId="27C7F06E" w14:textId="77777777" w:rsidR="006A45BD" w:rsidRDefault="00D920B7">
            <w:pPr>
              <w:spacing w:after="0" w:line="240" w:lineRule="auto"/>
              <w:jc w:val="left"/>
            </w:pPr>
            <w:r>
              <w:rPr>
                <w:b/>
                <w:color w:val="FFFFFF"/>
                <w:sz w:val="21"/>
              </w:rPr>
              <w:t>Gate</w:t>
            </w:r>
          </w:p>
        </w:tc>
        <w:tc>
          <w:tcPr>
            <w:tcW w:w="1780" w:type="dxa"/>
            <w:shd w:val="clear" w:color="auto" w:fill="156082"/>
            <w:tcMar>
              <w:top w:w="85" w:type="dxa"/>
              <w:left w:w="100" w:type="dxa"/>
              <w:bottom w:w="85" w:type="dxa"/>
              <w:right w:w="100" w:type="dxa"/>
            </w:tcMar>
            <w:vAlign w:val="center"/>
          </w:tcPr>
          <w:p w14:paraId="3C5F619C" w14:textId="77777777" w:rsidR="006A45BD" w:rsidRDefault="00D920B7">
            <w:pPr>
              <w:spacing w:after="0" w:line="240" w:lineRule="auto"/>
              <w:jc w:val="left"/>
            </w:pPr>
            <w:r>
              <w:rPr>
                <w:b/>
                <w:color w:val="FFFFFF"/>
                <w:sz w:val="21"/>
              </w:rPr>
              <w:t>Owner</w:t>
            </w:r>
          </w:p>
        </w:tc>
        <w:tc>
          <w:tcPr>
            <w:tcW w:w="4740" w:type="dxa"/>
            <w:shd w:val="clear" w:color="auto" w:fill="156082"/>
            <w:tcMar>
              <w:top w:w="85" w:type="dxa"/>
              <w:left w:w="100" w:type="dxa"/>
              <w:bottom w:w="85" w:type="dxa"/>
              <w:right w:w="100" w:type="dxa"/>
            </w:tcMar>
            <w:vAlign w:val="center"/>
          </w:tcPr>
          <w:p w14:paraId="3230799C" w14:textId="77777777" w:rsidR="006A45BD" w:rsidRDefault="00D920B7">
            <w:pPr>
              <w:spacing w:after="0" w:line="240" w:lineRule="auto"/>
              <w:jc w:val="left"/>
            </w:pPr>
            <w:r>
              <w:rPr>
                <w:b/>
                <w:color w:val="FFFFFF"/>
                <w:sz w:val="21"/>
              </w:rPr>
              <w:t>Evidence required</w:t>
            </w:r>
          </w:p>
        </w:tc>
      </w:tr>
      <w:tr w:rsidR="006A45BD" w14:paraId="55381EA9" w14:textId="77777777">
        <w:trPr>
          <w:cantSplit/>
          <w:jc w:val="center"/>
        </w:trPr>
        <w:tc>
          <w:tcPr>
            <w:tcW w:w="1820" w:type="dxa"/>
            <w:shd w:val="clear" w:color="auto" w:fill="FFFFFF"/>
            <w:tcMar>
              <w:top w:w="85" w:type="dxa"/>
              <w:left w:w="100" w:type="dxa"/>
              <w:bottom w:w="85" w:type="dxa"/>
              <w:right w:w="100" w:type="dxa"/>
            </w:tcMar>
            <w:vAlign w:val="center"/>
          </w:tcPr>
          <w:p w14:paraId="4F8EAEAB" w14:textId="77777777" w:rsidR="006A45BD" w:rsidRDefault="00D920B7">
            <w:pPr>
              <w:spacing w:after="0" w:line="240" w:lineRule="auto"/>
              <w:jc w:val="left"/>
            </w:pPr>
            <w:r>
              <w:rPr>
                <w:color w:val="000000"/>
                <w:sz w:val="21"/>
              </w:rPr>
              <w:t>Contract and allocation</w:t>
            </w:r>
          </w:p>
        </w:tc>
        <w:tc>
          <w:tcPr>
            <w:tcW w:w="1780" w:type="dxa"/>
            <w:shd w:val="clear" w:color="auto" w:fill="FFFFFF"/>
            <w:tcMar>
              <w:top w:w="85" w:type="dxa"/>
              <w:left w:w="100" w:type="dxa"/>
              <w:bottom w:w="85" w:type="dxa"/>
              <w:right w:w="100" w:type="dxa"/>
            </w:tcMar>
            <w:vAlign w:val="center"/>
          </w:tcPr>
          <w:p w14:paraId="2FCFAED6" w14:textId="77777777" w:rsidR="006A45BD" w:rsidRDefault="00D920B7">
            <w:pPr>
              <w:spacing w:after="0" w:line="240" w:lineRule="auto"/>
              <w:jc w:val="left"/>
            </w:pPr>
            <w:r>
              <w:rPr>
                <w:color w:val="000000"/>
                <w:sz w:val="21"/>
              </w:rPr>
              <w:t xml:space="preserve">Lasith + </w:t>
            </w:r>
            <w:r>
              <w:rPr>
                <w:color w:val="000000"/>
                <w:sz w:val="21"/>
              </w:rPr>
              <w:t>Evenor-Tech</w:t>
            </w:r>
          </w:p>
        </w:tc>
        <w:tc>
          <w:tcPr>
            <w:tcW w:w="4740" w:type="dxa"/>
            <w:shd w:val="clear" w:color="auto" w:fill="FFFFFF"/>
            <w:tcMar>
              <w:top w:w="85" w:type="dxa"/>
              <w:left w:w="100" w:type="dxa"/>
              <w:bottom w:w="85" w:type="dxa"/>
              <w:right w:w="100" w:type="dxa"/>
            </w:tcMar>
            <w:vAlign w:val="center"/>
          </w:tcPr>
          <w:p w14:paraId="4D7323FA" w14:textId="77777777" w:rsidR="006A45BD" w:rsidRDefault="00D920B7">
            <w:pPr>
              <w:spacing w:after="0" w:line="240" w:lineRule="auto"/>
              <w:jc w:val="left"/>
            </w:pPr>
            <w:r>
              <w:rPr>
                <w:color w:val="000000"/>
                <w:sz w:val="21"/>
              </w:rPr>
              <w:t>Receiver schema, IDs, routes, DMS flag mapping, value/status encoding, periods and acceptance criteria.</w:t>
            </w:r>
          </w:p>
        </w:tc>
      </w:tr>
      <w:tr w:rsidR="006A45BD" w14:paraId="52A9D4F4" w14:textId="77777777">
        <w:trPr>
          <w:cantSplit/>
          <w:jc w:val="center"/>
        </w:trPr>
        <w:tc>
          <w:tcPr>
            <w:tcW w:w="1820" w:type="dxa"/>
            <w:shd w:val="clear" w:color="auto" w:fill="F2F6F8"/>
            <w:tcMar>
              <w:top w:w="85" w:type="dxa"/>
              <w:left w:w="100" w:type="dxa"/>
              <w:bottom w:w="85" w:type="dxa"/>
              <w:right w:w="100" w:type="dxa"/>
            </w:tcMar>
            <w:vAlign w:val="center"/>
          </w:tcPr>
          <w:p w14:paraId="64FD285D" w14:textId="77777777" w:rsidR="006A45BD" w:rsidRDefault="00D920B7">
            <w:pPr>
              <w:spacing w:after="0" w:line="240" w:lineRule="auto"/>
              <w:jc w:val="left"/>
            </w:pPr>
            <w:r>
              <w:rPr>
                <w:color w:val="000000"/>
                <w:sz w:val="21"/>
              </w:rPr>
              <w:t>Source readiness</w:t>
            </w:r>
          </w:p>
        </w:tc>
        <w:tc>
          <w:tcPr>
            <w:tcW w:w="1780" w:type="dxa"/>
            <w:shd w:val="clear" w:color="auto" w:fill="F2F6F8"/>
            <w:tcMar>
              <w:top w:w="85" w:type="dxa"/>
              <w:left w:w="100" w:type="dxa"/>
              <w:bottom w:w="85" w:type="dxa"/>
              <w:right w:w="100" w:type="dxa"/>
            </w:tcMar>
            <w:vAlign w:val="center"/>
          </w:tcPr>
          <w:p w14:paraId="5F0251FF" w14:textId="77777777" w:rsidR="006A45BD" w:rsidRDefault="00D920B7">
            <w:pPr>
              <w:spacing w:after="0" w:line="240" w:lineRule="auto"/>
              <w:jc w:val="left"/>
            </w:pPr>
            <w:r>
              <w:rPr>
                <w:color w:val="000000"/>
                <w:sz w:val="21"/>
              </w:rPr>
              <w:t>Evenor-Tech</w:t>
            </w:r>
          </w:p>
        </w:tc>
        <w:tc>
          <w:tcPr>
            <w:tcW w:w="4740" w:type="dxa"/>
            <w:shd w:val="clear" w:color="auto" w:fill="F2F6F8"/>
            <w:tcMar>
              <w:top w:w="85" w:type="dxa"/>
              <w:left w:w="100" w:type="dxa"/>
              <w:bottom w:w="85" w:type="dxa"/>
              <w:right w:w="100" w:type="dxa"/>
            </w:tcMar>
            <w:vAlign w:val="center"/>
          </w:tcPr>
          <w:p w14:paraId="77109826" w14:textId="77777777" w:rsidR="006A45BD" w:rsidRDefault="00D920B7">
            <w:pPr>
              <w:spacing w:after="0" w:line="240" w:lineRule="auto"/>
              <w:jc w:val="left"/>
            </w:pPr>
            <w:r>
              <w:rPr>
                <w:color w:val="000000"/>
                <w:sz w:val="21"/>
              </w:rPr>
              <w:t xml:space="preserve">Approved metric method, coverage, exclusions, exact units, declarations and provenance; valid </w:t>
            </w:r>
            <w:r>
              <w:rPr>
                <w:color w:val="000000"/>
                <w:sz w:val="21"/>
              </w:rPr>
              <w:t>comparisons where required.</w:t>
            </w:r>
          </w:p>
        </w:tc>
      </w:tr>
      <w:tr w:rsidR="006A45BD" w14:paraId="2B7F620D" w14:textId="77777777">
        <w:trPr>
          <w:cantSplit/>
          <w:jc w:val="center"/>
        </w:trPr>
        <w:tc>
          <w:tcPr>
            <w:tcW w:w="1820" w:type="dxa"/>
            <w:shd w:val="clear" w:color="auto" w:fill="FFFFFF"/>
            <w:tcMar>
              <w:top w:w="85" w:type="dxa"/>
              <w:left w:w="100" w:type="dxa"/>
              <w:bottom w:w="85" w:type="dxa"/>
              <w:right w:w="100" w:type="dxa"/>
            </w:tcMar>
            <w:vAlign w:val="center"/>
          </w:tcPr>
          <w:p w14:paraId="585B64E3" w14:textId="77777777" w:rsidR="006A45BD" w:rsidRDefault="00D920B7">
            <w:pPr>
              <w:spacing w:after="0" w:line="240" w:lineRule="auto"/>
              <w:jc w:val="left"/>
            </w:pPr>
            <w:r>
              <w:rPr>
                <w:color w:val="000000"/>
                <w:sz w:val="21"/>
              </w:rPr>
              <w:t>Offline dry run</w:t>
            </w:r>
          </w:p>
        </w:tc>
        <w:tc>
          <w:tcPr>
            <w:tcW w:w="1780" w:type="dxa"/>
            <w:shd w:val="clear" w:color="auto" w:fill="FFFFFF"/>
            <w:tcMar>
              <w:top w:w="85" w:type="dxa"/>
              <w:left w:w="100" w:type="dxa"/>
              <w:bottom w:w="85" w:type="dxa"/>
              <w:right w:w="100" w:type="dxa"/>
            </w:tcMar>
            <w:vAlign w:val="center"/>
          </w:tcPr>
          <w:p w14:paraId="453A46E9" w14:textId="77777777" w:rsidR="006A45BD" w:rsidRDefault="00D920B7">
            <w:pPr>
              <w:spacing w:after="0" w:line="240" w:lineRule="auto"/>
              <w:jc w:val="left"/>
            </w:pPr>
            <w:r>
              <w:rPr>
                <w:color w:val="000000"/>
                <w:sz w:val="21"/>
              </w:rPr>
              <w:t>Evenor-Tech</w:t>
            </w:r>
          </w:p>
        </w:tc>
        <w:tc>
          <w:tcPr>
            <w:tcW w:w="4740" w:type="dxa"/>
            <w:shd w:val="clear" w:color="auto" w:fill="FFFFFF"/>
            <w:tcMar>
              <w:top w:w="85" w:type="dxa"/>
              <w:left w:w="100" w:type="dxa"/>
              <w:bottom w:w="85" w:type="dxa"/>
              <w:right w:w="100" w:type="dxa"/>
            </w:tcMar>
            <w:vAlign w:val="center"/>
          </w:tcPr>
          <w:p w14:paraId="67BF2871" w14:textId="77777777" w:rsidR="006A45BD" w:rsidRDefault="00D920B7">
            <w:pPr>
              <w:spacing w:after="0" w:line="240" w:lineRule="auto"/>
              <w:jc w:val="left"/>
            </w:pPr>
            <w:r>
              <w:rPr>
                <w:color w:val="000000"/>
                <w:sz w:val="21"/>
              </w:rPr>
              <w:t>No network by default; approved aggregate preview, missing versus zero checks and shared AMT/API duplicate register.</w:t>
            </w:r>
          </w:p>
        </w:tc>
      </w:tr>
      <w:tr w:rsidR="006A45BD" w14:paraId="3931BC6A" w14:textId="77777777">
        <w:trPr>
          <w:cantSplit/>
          <w:jc w:val="center"/>
        </w:trPr>
        <w:tc>
          <w:tcPr>
            <w:tcW w:w="1820" w:type="dxa"/>
            <w:shd w:val="clear" w:color="auto" w:fill="F2F6F8"/>
            <w:tcMar>
              <w:top w:w="85" w:type="dxa"/>
              <w:left w:w="100" w:type="dxa"/>
              <w:bottom w:w="85" w:type="dxa"/>
              <w:right w:w="100" w:type="dxa"/>
            </w:tcMar>
            <w:vAlign w:val="center"/>
          </w:tcPr>
          <w:p w14:paraId="50E14EE2" w14:textId="77777777" w:rsidR="006A45BD" w:rsidRDefault="00D920B7">
            <w:pPr>
              <w:spacing w:after="0" w:line="240" w:lineRule="auto"/>
              <w:jc w:val="left"/>
            </w:pPr>
            <w:r>
              <w:rPr>
                <w:color w:val="000000"/>
                <w:sz w:val="21"/>
              </w:rPr>
              <w:t>Sandbox testing</w:t>
            </w:r>
          </w:p>
        </w:tc>
        <w:tc>
          <w:tcPr>
            <w:tcW w:w="1780" w:type="dxa"/>
            <w:shd w:val="clear" w:color="auto" w:fill="F2F6F8"/>
            <w:tcMar>
              <w:top w:w="85" w:type="dxa"/>
              <w:left w:w="100" w:type="dxa"/>
              <w:bottom w:w="85" w:type="dxa"/>
              <w:right w:w="100" w:type="dxa"/>
            </w:tcMar>
            <w:vAlign w:val="center"/>
          </w:tcPr>
          <w:p w14:paraId="6E9C1CD9" w14:textId="77777777" w:rsidR="006A45BD" w:rsidRDefault="00D920B7">
            <w:pPr>
              <w:spacing w:after="0" w:line="240" w:lineRule="auto"/>
              <w:jc w:val="left"/>
            </w:pPr>
            <w:r>
              <w:rPr>
                <w:color w:val="000000"/>
                <w:sz w:val="21"/>
              </w:rPr>
              <w:t>Both</w:t>
            </w:r>
          </w:p>
        </w:tc>
        <w:tc>
          <w:tcPr>
            <w:tcW w:w="4740" w:type="dxa"/>
            <w:shd w:val="clear" w:color="auto" w:fill="F2F6F8"/>
            <w:tcMar>
              <w:top w:w="85" w:type="dxa"/>
              <w:left w:w="100" w:type="dxa"/>
              <w:bottom w:w="85" w:type="dxa"/>
              <w:right w:w="100" w:type="dxa"/>
            </w:tcMar>
            <w:vAlign w:val="center"/>
          </w:tcPr>
          <w:p w14:paraId="760BAE7C" w14:textId="77777777" w:rsidR="006A45BD" w:rsidRDefault="00D920B7">
            <w:pPr>
              <w:spacing w:after="0" w:line="240" w:lineRule="auto"/>
              <w:jc w:val="left"/>
            </w:pPr>
            <w:r>
              <w:rPr>
                <w:color w:val="000000"/>
                <w:sz w:val="21"/>
              </w:rPr>
              <w:t xml:space="preserve">Authorised sandbox or local mock: invalid </w:t>
            </w:r>
            <w:r>
              <w:rPr>
                <w:color w:val="000000"/>
                <w:sz w:val="21"/>
              </w:rPr>
              <w:t>units/dates, internal data, missing IDs, pagination/identity merging, expiry, rejection, duplicates and ambiguous timeout.</w:t>
            </w:r>
          </w:p>
        </w:tc>
      </w:tr>
      <w:tr w:rsidR="006A45BD" w14:paraId="45A7BB17" w14:textId="77777777">
        <w:trPr>
          <w:cantSplit/>
          <w:jc w:val="center"/>
        </w:trPr>
        <w:tc>
          <w:tcPr>
            <w:tcW w:w="1820" w:type="dxa"/>
            <w:shd w:val="clear" w:color="auto" w:fill="FFFFFF"/>
            <w:tcMar>
              <w:top w:w="85" w:type="dxa"/>
              <w:left w:w="100" w:type="dxa"/>
              <w:bottom w:w="85" w:type="dxa"/>
              <w:right w:w="100" w:type="dxa"/>
            </w:tcMar>
            <w:vAlign w:val="center"/>
          </w:tcPr>
          <w:p w14:paraId="4416019A" w14:textId="77777777" w:rsidR="006A45BD" w:rsidRDefault="00D920B7">
            <w:pPr>
              <w:spacing w:after="0" w:line="240" w:lineRule="auto"/>
              <w:jc w:val="left"/>
            </w:pPr>
            <w:r>
              <w:rPr>
                <w:color w:val="000000"/>
                <w:sz w:val="21"/>
              </w:rPr>
              <w:t>Controlled release</w:t>
            </w:r>
          </w:p>
        </w:tc>
        <w:tc>
          <w:tcPr>
            <w:tcW w:w="1780" w:type="dxa"/>
            <w:shd w:val="clear" w:color="auto" w:fill="FFFFFF"/>
            <w:tcMar>
              <w:top w:w="85" w:type="dxa"/>
              <w:left w:w="100" w:type="dxa"/>
              <w:bottom w:w="85" w:type="dxa"/>
              <w:right w:w="100" w:type="dxa"/>
            </w:tcMar>
            <w:vAlign w:val="center"/>
          </w:tcPr>
          <w:p w14:paraId="1B485BA5" w14:textId="77777777" w:rsidR="006A45BD" w:rsidRDefault="00D920B7">
            <w:pPr>
              <w:spacing w:after="0" w:line="240" w:lineRule="auto"/>
              <w:jc w:val="left"/>
            </w:pPr>
            <w:r>
              <w:rPr>
                <w:color w:val="000000"/>
                <w:sz w:val="21"/>
              </w:rPr>
              <w:t>Both</w:t>
            </w:r>
          </w:p>
        </w:tc>
        <w:tc>
          <w:tcPr>
            <w:tcW w:w="4740" w:type="dxa"/>
            <w:shd w:val="clear" w:color="auto" w:fill="FFFFFF"/>
            <w:tcMar>
              <w:top w:w="85" w:type="dxa"/>
              <w:left w:w="100" w:type="dxa"/>
              <w:bottom w:w="85" w:type="dxa"/>
              <w:right w:w="100" w:type="dxa"/>
            </w:tcMar>
            <w:vAlign w:val="center"/>
          </w:tcPr>
          <w:p w14:paraId="41F09598" w14:textId="77777777" w:rsidR="006A45BD" w:rsidRDefault="00D920B7">
            <w:pPr>
              <w:spacing w:after="0" w:line="240" w:lineRule="auto"/>
              <w:jc w:val="left"/>
            </w:pPr>
            <w:r>
              <w:rPr>
                <w:color w:val="000000"/>
                <w:sz w:val="21"/>
              </w:rPr>
              <w:t xml:space="preserve">Approved small batch, documented receipt/read-back and manual/API reconciliation. No production test </w:t>
            </w:r>
            <w:r>
              <w:rPr>
                <w:color w:val="000000"/>
                <w:sz w:val="21"/>
              </w:rPr>
              <w:t>records mixed with real observations.</w:t>
            </w:r>
          </w:p>
        </w:tc>
      </w:tr>
    </w:tbl>
    <w:p w14:paraId="4EC13726" w14:textId="77777777" w:rsidR="006A45BD" w:rsidRDefault="00D920B7">
      <w:pPr>
        <w:pStyle w:val="Descripcin"/>
        <w:spacing w:before="80" w:after="160"/>
      </w:pPr>
      <w:r>
        <w:t>Table 6. Proposed gates; no implementation, token creation or test submission was performed.</w:t>
      </w:r>
    </w:p>
    <w:p w14:paraId="656D85D1" w14:textId="77777777" w:rsidR="006A45BD" w:rsidRDefault="00D920B7">
      <w:pPr>
        <w:pStyle w:val="Ttulo3"/>
        <w:pageBreakBefore/>
        <w:spacing w:before="0" w:after="160"/>
      </w:pPr>
      <w:bookmarkStart w:id="7" w:name="_Toc243473388"/>
      <w:r>
        <w:lastRenderedPageBreak/>
        <w:t>8 Required Decisions and Corrections to Rev3</w:t>
      </w:r>
      <w:bookmarkEnd w:id="7"/>
    </w:p>
    <w:p w14:paraId="35B39B09" w14:textId="77777777" w:rsidR="006A45BD" w:rsidRDefault="00D920B7">
      <w:pPr>
        <w:spacing w:after="140" w:line="276" w:lineRule="auto"/>
      </w:pPr>
      <w:r>
        <w:t xml:space="preserve">Evenor-Tech can now propose the nine-row allocation, approve metric </w:t>
      </w:r>
      <w:r>
        <w:t>definitions and source ownership, preserve the September correspondence and panel settings, corroborate period declarations and document institutional coordination. The next implementation phase can prepare an isolated extractor/validator and dry-run ledge</w:t>
      </w:r>
      <w:r>
        <w:t>r after approval. These actions do not require changing the public application, DNS, production database or existing analytics settings during this study.</w:t>
      </w:r>
    </w:p>
    <w:p w14:paraId="464F88A1" w14:textId="77777777" w:rsidR="006A45BD" w:rsidRDefault="00D920B7">
      <w:pPr>
        <w:spacing w:after="140" w:line="276" w:lineRule="auto"/>
      </w:pPr>
      <w:r>
        <w:t>Lasith should provide the promised current API and indicator documentation, AMT URL/access procedure,</w:t>
      </w:r>
      <w:r>
        <w:t xml:space="preserve"> project and indicator identifiers, token lifecycle and permissions, test environment, allowed operations, response/receipt and correction semantics, limits, idempotency/read-back and missing-value representation. Obtain concrete current versions rather th</w:t>
      </w:r>
      <w:r>
        <w:t>an assuming the post-migration material was delivered. Request these through the responsible project contact; no email or data was sent during this review. [T01, T02, T10]</w:t>
      </w:r>
    </w:p>
    <w:p w14:paraId="74395297" w14:textId="77777777" w:rsidR="006A45BD" w:rsidRDefault="00D920B7">
      <w:pPr>
        <w:spacing w:after="140" w:line="276" w:lineRule="auto"/>
      </w:pPr>
      <w:r>
        <w:t>Joint decisions are the per-code allocation; the template’s DMS/auto_accept mapping;</w:t>
      </w:r>
      <w:r>
        <w:t xml:space="preserve"> user/session and coverage definitions; eligible citizen activity and participant-versus-registered-user target; annual jobs/seasonal/cohort windows; declared-zero acceptance; and simulated comparison, survey and demographic denominators. Selecting API doe</w:t>
      </w:r>
      <w:r>
        <w:t>s not waive measurement requirements.</w:t>
      </w:r>
    </w:p>
    <w:p w14:paraId="56225D58" w14:textId="77777777" w:rsidR="006A45BD" w:rsidRDefault="00D920B7">
      <w:pPr>
        <w:spacing w:after="140" w:line="276" w:lineRule="auto"/>
      </w:pPr>
      <w:r>
        <w:t>Rev3’s factual correction is now precise. The 5 August meeting was an external institutional presentation with Vera of BALAM and municipal representatives, together with coordination of possible dissemination. It was n</w:t>
      </w:r>
      <w:r>
        <w:t>ot a training session or an open public citizen event. Current internal confirmation says the municipal dissemination actions agreed there have not materialised. Do not deny that external presentations occurred or treat intended municipal support as delive</w:t>
      </w:r>
      <w:r>
        <w:t>red outreach. Lasith must still decide whether this institutional activity is eligible for RRTG.SC-01b. Earlier Evenor-Tech invitations are a separate evidence stream. [T09]</w:t>
      </w:r>
    </w:p>
    <w:p w14:paraId="7F63E7C9" w14:textId="77777777" w:rsidR="006A45BD" w:rsidRDefault="00D920B7">
      <w:pPr>
        <w:spacing w:after="140" w:line="276" w:lineRule="auto"/>
      </w:pPr>
      <w:r>
        <w:t>A later revision should correct report sections 1, 2.2, 3.4, 5 and the relevant so</w:t>
      </w:r>
      <w:r>
        <w:t xml:space="preserve">urce notes; the method workbook’s RRTG.SC-01b remarks (Q11); Data Collection COMMENTS F7; traceability H8/I8/M8 and the E06/E22 evidence interpretations; and the changes note. Preserve the three zeros’ declared status and the annual employment limitation. </w:t>
      </w:r>
      <w:r>
        <w:t>Keep the nine auto_accept cells blank until the per-code flag mapping is confirmed. Do not change the unavailable INNOV_003/004 values because a future API is technically possible. [T03]</w:t>
      </w:r>
    </w:p>
    <w:p w14:paraId="36BFFCA9" w14:textId="77777777" w:rsidR="006A45BD" w:rsidRDefault="00D920B7">
      <w:pPr>
        <w:spacing w:after="140" w:line="276" w:lineRule="auto"/>
      </w:pPr>
      <w:r>
        <w:t>Rev3 is unchanged; its six file hashes and inspected source/Git metad</w:t>
      </w:r>
      <w:r>
        <w:t>ata are checked before and after this study. The matrix and next-steps note contain the detailed decisions. No Rev4 is created.</w:t>
      </w:r>
    </w:p>
    <w:p w14:paraId="7E4CB5EF" w14:textId="77777777" w:rsidR="006A45BD" w:rsidRDefault="00D920B7">
      <w:pPr>
        <w:pStyle w:val="Ttulo3"/>
        <w:pageBreakBefore/>
        <w:spacing w:before="0" w:after="160"/>
      </w:pPr>
      <w:bookmarkStart w:id="8" w:name="_Toc243473389"/>
      <w:r>
        <w:lastRenderedPageBreak/>
        <w:t>9 Sources and Verification Scope</w:t>
      </w:r>
      <w:bookmarkEnd w:id="8"/>
    </w:p>
    <w:p w14:paraId="5FEC8A28" w14:textId="77777777" w:rsidR="006A45BD" w:rsidRDefault="00D920B7">
      <w:pPr>
        <w:spacing w:after="140" w:line="276" w:lineRule="auto"/>
      </w:pPr>
      <w:r>
        <w:rPr>
          <w:sz w:val="20"/>
        </w:rPr>
        <w:t>The analysis reuses Rev3 and examines integration-relevant code and correspondence only. No app</w:t>
      </w:r>
      <w:r>
        <w:rPr>
          <w:sz w:val="20"/>
        </w:rPr>
        <w:t>lication, database, private PostHog/RURACTIVE API or deployment was executed or changed. Source titles, exact locators and limitations are also recorded in the decision matrix.</w:t>
      </w:r>
    </w:p>
    <w:p w14:paraId="107D15F2" w14:textId="77777777" w:rsidR="006A45BD" w:rsidRDefault="00D920B7">
      <w:pPr>
        <w:spacing w:after="140" w:line="240" w:lineRule="auto"/>
        <w:jc w:val="left"/>
      </w:pPr>
      <w:r>
        <w:rPr>
          <w:sz w:val="20"/>
        </w:rPr>
        <w:t>[T01] September method agreement as supplied by Evenor-Tech. User-supplied acco</w:t>
      </w:r>
      <w:r>
        <w:rPr>
          <w:sz w:val="20"/>
        </w:rPr>
        <w:t>unt of email thread "Confirmation Required: RURACTIVE Monitoring Data Collection Method", 1-2 September 2026; response times 10:50 and 15:10 as provided. Hybrid proposed and accepted. Original September messages/attachments not retrieved from accessible Gm</w:t>
      </w:r>
      <w:r>
        <w:rPr>
          <w:sz w:val="20"/>
        </w:rPr>
        <w:t>ail or local files. Reported email times have no verified timezone. Does not assign named indicators or prove subsequent specification delivery.</w:t>
      </w:r>
    </w:p>
    <w:p w14:paraId="29BFB098" w14:textId="77777777" w:rsidR="006A45BD" w:rsidRDefault="00D920B7">
      <w:pPr>
        <w:spacing w:after="140" w:line="240" w:lineRule="auto"/>
        <w:jc w:val="left"/>
      </w:pPr>
      <w:r>
        <w:rPr>
          <w:sz w:val="20"/>
        </w:rPr>
        <w:t>[T02] Original October follow-up transcript. ANFORA_Reunion_Lasith_Transcripcion.txt; 12:38:25-12:39:49 and 12:</w:t>
      </w:r>
      <w:r>
        <w:rPr>
          <w:sz w:val="20"/>
        </w:rPr>
        <w:t>42:40-12:43:20; full transcript retained. Confirms prior both-AMT/API discussion; conditional DMS -&gt; TRUE; planned username/password-to-token API without VPN. Exact meeting date, endpoint and token contract unstated.</w:t>
      </w:r>
    </w:p>
    <w:p w14:paraId="39E67C3A" w14:textId="77777777" w:rsidR="006A45BD" w:rsidRDefault="00D920B7">
      <w:pPr>
        <w:spacing w:after="140" w:line="240" w:lineRule="auto"/>
        <w:jc w:val="left"/>
      </w:pPr>
      <w:r>
        <w:rPr>
          <w:sz w:val="20"/>
        </w:rPr>
        <w:t xml:space="preserve">[T03] Rev3 working package, unchanged. </w:t>
      </w:r>
      <w:r>
        <w:rPr>
          <w:sz w:val="20"/>
        </w:rPr>
        <w:t>21 October 2026; report sections 1-6; official workbook D05-ANFORA!B8:R16; Data Collection Sheet1!A4:F12; traceability rows 5-13. Authority for official definitions/time fields and retained evidence state. General method terminology and institutional-prese</w:t>
      </w:r>
      <w:r>
        <w:rPr>
          <w:sz w:val="20"/>
        </w:rPr>
        <w:t>ntation wording need later correction; no Rev4 produced.</w:t>
      </w:r>
    </w:p>
    <w:p w14:paraId="5A38A213" w14:textId="77777777" w:rsidR="006A45BD" w:rsidRDefault="00D920B7">
      <w:pPr>
        <w:spacing w:after="140" w:line="240" w:lineRule="auto"/>
        <w:jc w:val="left"/>
      </w:pPr>
      <w:r>
        <w:rPr>
          <w:sz w:val="20"/>
        </w:rPr>
        <w:t xml:space="preserve">[T04] Current ANFORA models, routes and source inspection. backend_anfora/src/routes/index.js:1-23; waterFootPrintRoutes.js:34-56; models/User.js:5-50; </w:t>
      </w:r>
      <w:r>
        <w:rPr>
          <w:sz w:val="20"/>
        </w:rPr>
        <w:t>CalculatedRecipe.js:59-153; Recipe.js:3-165; WeeklyMenu.js:96-228; package.json. Static local code; no DB query, app execution or deployment verification. No RURACTIVE client, mapping registry or delivery ledger located.</w:t>
      </w:r>
    </w:p>
    <w:p w14:paraId="49AE870C" w14:textId="77777777" w:rsidR="006A45BD" w:rsidRDefault="00D920B7">
      <w:pPr>
        <w:spacing w:after="140" w:line="240" w:lineRule="auto"/>
        <w:jc w:val="left"/>
      </w:pPr>
      <w:r>
        <w:rPr>
          <w:sz w:val="20"/>
        </w:rPr>
        <w:t>[T05] PostHog instrumentation and e</w:t>
      </w:r>
      <w:r>
        <w:rPr>
          <w:sz w:val="20"/>
        </w:rPr>
        <w:t>vent flow. frontend analytics/analyticsService.js:285-315,343-446,463-579; events.js:1-68; consent.js:7-45; AnalyticsProvider.jsx:20-137; engagementTracker.js:3-36; backend service/analyticsService.js:8-50,165-227; middleware/analyticsContext.js:32-55. Man</w:t>
      </w:r>
      <w:r>
        <w:rPr>
          <w:sz w:val="20"/>
        </w:rPr>
        <w:t>ual Pageviews plus 21 custom frontend events, 10 backend event types; consent and DNT/GPC; local 30-minute idle session; pseudonymous IDs. Event code is not deployment/coverage or successful-ingestion proof.</w:t>
      </w:r>
    </w:p>
    <w:p w14:paraId="477FB086" w14:textId="77777777" w:rsidR="006A45BD" w:rsidRDefault="00D920B7">
      <w:pPr>
        <w:spacing w:after="140" w:line="240" w:lineRule="auto"/>
        <w:jc w:val="left"/>
      </w:pPr>
      <w:r>
        <w:rPr>
          <w:sz w:val="20"/>
        </w:rPr>
        <w:t>[T06] Calculation, export and profile semantics.</w:t>
      </w:r>
      <w:r>
        <w:rPr>
          <w:sz w:val="20"/>
        </w:rPr>
        <w:t xml:space="preserve"> backend service/waterFootPrintService.js:100-193,215-349,720-850; controller/waterFootPrintController.js:104-125,134-166,176-216; frontend utils/csvGenerator.js:24-26,80-93,223-233; hooks/useUserStats.js:27-43; services/userStatsService.js:14. Calculation</w:t>
      </w:r>
      <w:r>
        <w:rPr>
          <w:sz w:val="20"/>
        </w:rPr>
        <w:t xml:space="preserve"> requests persist records; catalogue stats are not usage; presentational CSV defaults and profile benchmark are unsuitable indicator sources. No endpoint called.</w:t>
      </w:r>
    </w:p>
    <w:p w14:paraId="08A3E45E" w14:textId="77777777" w:rsidR="006A45BD" w:rsidRDefault="00D920B7">
      <w:pPr>
        <w:spacing w:after="140" w:line="240" w:lineRule="auto"/>
        <w:jc w:val="left"/>
      </w:pPr>
      <w:r>
        <w:rPr>
          <w:sz w:val="20"/>
        </w:rPr>
        <w:t>[T07] Previously verified database supporting observations. Rev3 evidence E11/E16/E20 and Data</w:t>
      </w:r>
      <w:r>
        <w:rPr>
          <w:sz w:val="20"/>
        </w:rPr>
        <w:t xml:space="preserve"> extracts; read-only snapshots 20 October 2026. One in-period account, five retained by cut-off and two anonymous calculations; known synthetic IDs and other unclassified records. No new query in this review; records are not external users/attendance.</w:t>
      </w:r>
    </w:p>
    <w:p w14:paraId="127C9BE7" w14:textId="77777777" w:rsidR="006A45BD" w:rsidRDefault="00D920B7">
      <w:pPr>
        <w:spacing w:after="140" w:line="240" w:lineRule="auto"/>
        <w:jc w:val="left"/>
      </w:pPr>
      <w:r>
        <w:rPr>
          <w:sz w:val="20"/>
        </w:rPr>
        <w:t>[T08</w:t>
      </w:r>
      <w:r>
        <w:rPr>
          <w:sz w:val="20"/>
        </w:rPr>
        <w:t>] Three unchanged PostHog daily CSV exports. PostHog_2026-03_to_2026-08: export-2026-10-21-070956.csv; export-2026-10-21-071010.csv; export-2026-10-21-070736.csv; header plus single Pageview data row. 184 day columns; sums 1/4/39 only 31 August. Metric map</w:t>
      </w:r>
      <w:r>
        <w:rPr>
          <w:sz w:val="20"/>
        </w:rPr>
        <w:t>ping and internal-test provenance from responsible confirmation in Rev3 E22. No project/timezone/filter/aggregation/identity/session metadata in files.</w:t>
      </w:r>
    </w:p>
    <w:p w14:paraId="5175B7C5" w14:textId="77777777" w:rsidR="006A45BD" w:rsidRDefault="00D920B7">
      <w:pPr>
        <w:spacing w:after="140" w:line="240" w:lineRule="auto"/>
        <w:jc w:val="left"/>
      </w:pPr>
      <w:r>
        <w:rPr>
          <w:sz w:val="20"/>
        </w:rPr>
        <w:t>[T09] New institutional-meeting clarification. Current Evenor-Tech instructions; Lucena coordination min</w:t>
      </w:r>
      <w:r>
        <w:rPr>
          <w:sz w:val="20"/>
        </w:rPr>
        <w:t>utes 5 August 2026, ENG annex pp.1-3. External institutional presentation with Vera/BALAM and municipal representatives, not training or open citizen activity. Agreed municipal dissemination has not materialised per current internal confirmation. Eligibili</w:t>
      </w:r>
      <w:r>
        <w:rPr>
          <w:sz w:val="20"/>
        </w:rPr>
        <w:t>ty for RRTG.SC-01b needs Lasith. No new signed acta or certification.</w:t>
      </w:r>
    </w:p>
    <w:p w14:paraId="2C17EC04" w14:textId="77777777" w:rsidR="006A45BD" w:rsidRDefault="00D920B7">
      <w:pPr>
        <w:spacing w:after="140" w:line="240" w:lineRule="auto"/>
        <w:jc w:val="left"/>
      </w:pPr>
      <w:r>
        <w:rPr>
          <w:sz w:val="20"/>
        </w:rPr>
        <w:lastRenderedPageBreak/>
        <w:t xml:space="preserve">[T10] Targeted availability and integration search. 187 local runtime/documentation/example files searched; relevant filenames in project, Mid Validation and Downloads; older Respuestas </w:t>
      </w:r>
      <w:r>
        <w:rPr>
          <w:sz w:val="20"/>
        </w:rPr>
        <w:t>mail ANFORA.docx inspected; accessible Gmail subject/date/Lasith/RURACTIVE searches. No receiver API specification, indicator schema, authentication contract or AMT access instructions located. Gmail has no matching Lasith thread. This does not establish n</w:t>
      </w:r>
      <w:r>
        <w:rPr>
          <w:sz w:val="20"/>
        </w:rPr>
        <w:t>on-delivery to another company mailbox or absence from uninspected systems.</w:t>
      </w:r>
    </w:p>
    <w:p w14:paraId="2CC61B10" w14:textId="77777777" w:rsidR="006A45BD" w:rsidRDefault="00D920B7">
      <w:pPr>
        <w:spacing w:after="140" w:line="240" w:lineRule="auto"/>
        <w:jc w:val="left"/>
      </w:pPr>
      <w:r>
        <w:rPr>
          <w:sz w:val="20"/>
        </w:rPr>
        <w:t>[T11] PostHog official documentation. https://posthog.com/docs/data/sessions ; https://posthog.com/docs/data/persons ; https://posthog.com/docs/api ; accessed 21 October 2026. Sess</w:t>
      </w:r>
      <w:r>
        <w:rPr>
          <w:sz w:val="20"/>
        </w:rPr>
        <w:t>ion IDs and identity merging matter; private read access differs from capture project key. Guidance only, not ANFORA project access.</w:t>
      </w:r>
    </w:p>
    <w:p w14:paraId="470904D6" w14:textId="77777777" w:rsidR="006A45BD" w:rsidRDefault="00D920B7">
      <w:pPr>
        <w:spacing w:after="140" w:line="240" w:lineRule="auto"/>
        <w:jc w:val="left"/>
      </w:pPr>
      <w:r>
        <w:rPr>
          <w:sz w:val="20"/>
        </w:rPr>
        <w:t>[T12] Node.js official HTTP support. https://nodejs.org/api/globals.html#fetch ; https://nodejs.org/api/globals.html#static</w:t>
      </w:r>
      <w:r>
        <w:rPr>
          <w:sz w:val="20"/>
        </w:rPr>
        <w:t>-method-abortsignaltimeoutdelay ; accessed 21 October 2026. Built-in fetch/AbortSignal can avoid a new HTTP dependency if the actual deployed runtime supports them. Server runtime not verified.</w:t>
      </w:r>
    </w:p>
    <w:p w14:paraId="400B5F48" w14:textId="77777777" w:rsidR="006A45BD" w:rsidRDefault="00D920B7">
      <w:pPr>
        <w:spacing w:after="140" w:line="240" w:lineRule="auto"/>
        <w:jc w:val="left"/>
      </w:pPr>
      <w:r>
        <w:rPr>
          <w:sz w:val="20"/>
        </w:rPr>
        <w:t>[T13] HTTP retry semantics. https://www.rfc-editor.org/rfc/rfc</w:t>
      </w:r>
      <w:r>
        <w:rPr>
          <w:sz w:val="20"/>
        </w:rPr>
        <w:t>9110.html#section-9.2.2 ; accessed 21 October 2026. Non-idempotent writes must not be blindly retried after ambiguous delivery. Receiver-supported deduplication/read-back is still required.</w:t>
      </w:r>
    </w:p>
    <w:p w14:paraId="0F532952" w14:textId="77777777" w:rsidR="006A45BD" w:rsidRDefault="00D920B7">
      <w:pPr>
        <w:spacing w:after="140" w:line="240" w:lineRule="auto"/>
        <w:jc w:val="left"/>
      </w:pPr>
      <w:r>
        <w:rPr>
          <w:sz w:val="20"/>
        </w:rPr>
        <w:t>[T14] Local source versions and preservation. Backend a3e190c85afc</w:t>
      </w:r>
      <w:r>
        <w:rPr>
          <w:sz w:val="20"/>
        </w:rPr>
        <w:t>603a75a3928757df6df8be0490eb; frontend b9b84ed951355e6730d734238c3c45567df73425; clean tracked worktrees on inspection. Tracked code, environment files, Rev3 and Git HEAD/index/history hashes remain unchanged. One auxiliary frontend .git/gk/config file cha</w:t>
      </w:r>
      <w:r>
        <w:rPr>
          <w:sz w:val="20"/>
        </w:rPr>
        <w:t>nged during review; origin not established and not written or restored by this study. No secret values reproduced; production equivalence not asserted.</w:t>
      </w:r>
    </w:p>
    <w:p w14:paraId="0464F24E" w14:textId="77777777" w:rsidR="006A45BD" w:rsidRDefault="00D920B7">
      <w:pPr>
        <w:spacing w:after="140" w:line="240" w:lineRule="auto"/>
        <w:jc w:val="left"/>
      </w:pPr>
      <w:r>
        <w:rPr>
          <w:sz w:val="20"/>
        </w:rPr>
        <w:t xml:space="preserve">[T15] Data minimisation reference. https://eur-lex.europa.eu/legal-content/EN/TXT/?uri=CELEX:32016R0679 </w:t>
      </w:r>
      <w:r>
        <w:rPr>
          <w:sz w:val="20"/>
        </w:rPr>
        <w:t>; Article 5(1)(c), accessed 21 October 2026. Use necessary aggregate observations; assess small-cohort disclosure and lawful purpose/access with the responsible owner. This technical design is not a legal compliance certification.</w:t>
      </w:r>
    </w:p>
    <w:sectPr w:rsidR="006A45BD" w:rsidSect="002038FF">
      <w:footerReference w:type="default" r:id="rId22"/>
      <w:headerReference w:type="first" r:id="rId23"/>
      <w:footerReference w:type="first" r:id="rId24"/>
      <w:pgSz w:w="11906" w:h="16838"/>
      <w:pgMar w:top="1440" w:right="1797" w:bottom="1440" w:left="1797" w:header="720" w:footer="720" w:gutter="0"/>
      <w:pgBorders w:offsetFrom="page">
        <w:bottom w:val="single" w:sz="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5CD13" w14:textId="77777777" w:rsidR="00263020" w:rsidRPr="008773A4" w:rsidRDefault="00263020">
      <w:pPr>
        <w:spacing w:after="0" w:line="240" w:lineRule="auto"/>
      </w:pPr>
      <w:r w:rsidRPr="008773A4">
        <w:separator/>
      </w:r>
    </w:p>
  </w:endnote>
  <w:endnote w:type="continuationSeparator" w:id="0">
    <w:p w14:paraId="1EE5A970" w14:textId="77777777" w:rsidR="00263020" w:rsidRPr="008773A4" w:rsidRDefault="00263020">
      <w:pPr>
        <w:spacing w:after="0" w:line="240" w:lineRule="auto"/>
      </w:pPr>
      <w:r w:rsidRPr="008773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3916049"/>
      <w:docPartObj>
        <w:docPartGallery w:val="Page Numbers (Bottom of Page)"/>
        <w:docPartUnique/>
      </w:docPartObj>
    </w:sdtPr>
    <w:sdtEndPr/>
    <w:sdtContent>
      <w:p w14:paraId="0FEF4176" w14:textId="77777777" w:rsidR="00D82337" w:rsidRDefault="00001B40">
        <w:pPr>
          <w:pStyle w:val="Piedepgina"/>
          <w:jc w:val="center"/>
        </w:pPr>
        <w:r>
          <w:t>i</w:t>
        </w:r>
      </w:p>
    </w:sdtContent>
  </w:sdt>
  <w:p w14:paraId="68AF01E3" w14:textId="77777777" w:rsidR="0069239F" w:rsidRPr="008773A4" w:rsidRDefault="0069239F" w:rsidP="441EBDB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1E610FDC" w14:textId="77777777" w:rsidTr="61CE887F">
      <w:trPr>
        <w:trHeight w:val="300"/>
      </w:trPr>
      <w:tc>
        <w:tcPr>
          <w:tcW w:w="2770" w:type="dxa"/>
        </w:tcPr>
        <w:p w14:paraId="157A1FE6" w14:textId="77777777" w:rsidR="61CE887F" w:rsidRDefault="61CE887F" w:rsidP="61CE887F">
          <w:pPr>
            <w:pStyle w:val="Encabezado"/>
            <w:ind w:left="-115"/>
            <w:jc w:val="left"/>
          </w:pPr>
        </w:p>
      </w:tc>
      <w:tc>
        <w:tcPr>
          <w:tcW w:w="2770" w:type="dxa"/>
        </w:tcPr>
        <w:p w14:paraId="09266AD0" w14:textId="77777777" w:rsidR="61CE887F" w:rsidRDefault="61CE887F" w:rsidP="61CE887F">
          <w:pPr>
            <w:pStyle w:val="Encabezado"/>
            <w:jc w:val="center"/>
          </w:pPr>
        </w:p>
      </w:tc>
      <w:tc>
        <w:tcPr>
          <w:tcW w:w="2770" w:type="dxa"/>
        </w:tcPr>
        <w:p w14:paraId="21DC6024" w14:textId="77777777" w:rsidR="61CE887F" w:rsidRDefault="61CE887F" w:rsidP="61CE887F">
          <w:pPr>
            <w:pStyle w:val="Encabezado"/>
            <w:ind w:right="-115"/>
            <w:jc w:val="right"/>
          </w:pPr>
        </w:p>
      </w:tc>
    </w:tr>
  </w:tbl>
  <w:p w14:paraId="0CAA290A" w14:textId="77777777" w:rsidR="61CE887F" w:rsidRDefault="61CE887F" w:rsidP="61CE887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9886955"/>
      <w:docPartObj>
        <w:docPartGallery w:val="Page Numbers (Bottom of Page)"/>
        <w:docPartUnique/>
      </w:docPartObj>
    </w:sdtPr>
    <w:sdtEndPr/>
    <w:sdtContent>
      <w:p w14:paraId="266C803E" w14:textId="77777777" w:rsidR="00F511E0" w:rsidRDefault="00F511E0">
        <w:pPr>
          <w:pStyle w:val="Piedepgina"/>
          <w:jc w:val="center"/>
        </w:pPr>
        <w:r>
          <w:t>i</w:t>
        </w:r>
      </w:p>
    </w:sdtContent>
  </w:sdt>
  <w:p w14:paraId="2B80880B" w14:textId="77777777" w:rsidR="00F511E0" w:rsidRPr="008773A4" w:rsidRDefault="00F511E0" w:rsidP="441EBDB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00F511E0" w14:paraId="1ADDFFAA" w14:textId="77777777" w:rsidTr="61CE887F">
      <w:trPr>
        <w:trHeight w:val="300"/>
      </w:trPr>
      <w:tc>
        <w:tcPr>
          <w:tcW w:w="2770" w:type="dxa"/>
        </w:tcPr>
        <w:p w14:paraId="0B308E3E" w14:textId="77777777" w:rsidR="00F511E0" w:rsidRDefault="00F511E0" w:rsidP="61CE887F">
          <w:pPr>
            <w:pStyle w:val="Encabezado"/>
            <w:ind w:left="-115"/>
            <w:jc w:val="left"/>
          </w:pPr>
        </w:p>
      </w:tc>
      <w:tc>
        <w:tcPr>
          <w:tcW w:w="2770" w:type="dxa"/>
        </w:tcPr>
        <w:p w14:paraId="60CDA289" w14:textId="77777777" w:rsidR="00F511E0" w:rsidRDefault="00F511E0" w:rsidP="61CE887F">
          <w:pPr>
            <w:pStyle w:val="Encabezado"/>
            <w:jc w:val="center"/>
          </w:pPr>
        </w:p>
      </w:tc>
      <w:tc>
        <w:tcPr>
          <w:tcW w:w="2770" w:type="dxa"/>
        </w:tcPr>
        <w:p w14:paraId="4BE13C95" w14:textId="77777777" w:rsidR="00F511E0" w:rsidRDefault="00F511E0" w:rsidP="61CE887F">
          <w:pPr>
            <w:pStyle w:val="Encabezado"/>
            <w:ind w:right="-115"/>
            <w:jc w:val="right"/>
          </w:pPr>
        </w:p>
      </w:tc>
    </w:tr>
  </w:tbl>
  <w:p w14:paraId="51A5E6F0" w14:textId="77777777" w:rsidR="00F511E0" w:rsidRDefault="00F511E0" w:rsidP="61CE887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6531880"/>
      <w:docPartObj>
        <w:docPartGallery w:val="Page Numbers (Bottom of Page)"/>
        <w:docPartUnique/>
      </w:docPartObj>
    </w:sdtPr>
    <w:sdtEndPr/>
    <w:sdtContent>
      <w:p w14:paraId="69DCACDA" w14:textId="77777777" w:rsidR="0069239F" w:rsidRPr="008773A4" w:rsidRDefault="0069239F" w:rsidP="3EDDA7DD">
        <w:pPr>
          <w:pStyle w:val="Piedepgina"/>
          <w:jc w:val="center"/>
        </w:pPr>
        <w:r>
          <w:fldChar w:fldCharType="begin"/>
        </w:r>
        <w:r>
          <w:instrText>PAGE   \* MERGEFORMAT</w:instrText>
        </w:r>
        <w:r>
          <w:fldChar w:fldCharType="separate"/>
        </w:r>
        <w:r w:rsidR="3EDDA7DD">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123C1498" w14:textId="77777777" w:rsidTr="61CE887F">
      <w:trPr>
        <w:trHeight w:val="300"/>
      </w:trPr>
      <w:tc>
        <w:tcPr>
          <w:tcW w:w="2770" w:type="dxa"/>
        </w:tcPr>
        <w:p w14:paraId="2BB5004F" w14:textId="77777777" w:rsidR="61CE887F" w:rsidRDefault="61CE887F" w:rsidP="61CE887F">
          <w:pPr>
            <w:pStyle w:val="Encabezado"/>
            <w:ind w:left="-115"/>
            <w:jc w:val="left"/>
          </w:pPr>
        </w:p>
      </w:tc>
      <w:tc>
        <w:tcPr>
          <w:tcW w:w="2770" w:type="dxa"/>
        </w:tcPr>
        <w:p w14:paraId="59D99F27" w14:textId="77777777" w:rsidR="61CE887F" w:rsidRDefault="61CE887F" w:rsidP="61CE887F">
          <w:pPr>
            <w:pStyle w:val="Encabezado"/>
            <w:jc w:val="center"/>
          </w:pPr>
        </w:p>
      </w:tc>
      <w:tc>
        <w:tcPr>
          <w:tcW w:w="2770" w:type="dxa"/>
        </w:tcPr>
        <w:p w14:paraId="0CBB8DD0" w14:textId="77777777" w:rsidR="61CE887F" w:rsidRDefault="61CE887F" w:rsidP="61CE887F">
          <w:pPr>
            <w:pStyle w:val="Encabezado"/>
            <w:ind w:right="-115"/>
            <w:jc w:val="right"/>
          </w:pPr>
        </w:p>
      </w:tc>
    </w:tr>
  </w:tbl>
  <w:p w14:paraId="25EECF41" w14:textId="77777777" w:rsidR="61CE887F" w:rsidRDefault="61CE887F" w:rsidP="61CE88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44688" w14:textId="77777777" w:rsidR="00263020" w:rsidRPr="008773A4" w:rsidRDefault="00263020">
      <w:pPr>
        <w:spacing w:after="0" w:line="240" w:lineRule="auto"/>
      </w:pPr>
      <w:r w:rsidRPr="008773A4">
        <w:separator/>
      </w:r>
    </w:p>
  </w:footnote>
  <w:footnote w:type="continuationSeparator" w:id="0">
    <w:p w14:paraId="43621D9E" w14:textId="77777777" w:rsidR="00263020" w:rsidRPr="008773A4" w:rsidRDefault="00263020">
      <w:pPr>
        <w:spacing w:after="0" w:line="240" w:lineRule="auto"/>
      </w:pPr>
      <w:r w:rsidRPr="008773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A26B8" w14:textId="77777777" w:rsidR="002038FF" w:rsidRDefault="002038FF" w:rsidP="002038FF">
    <w:pPr>
      <w:spacing w:line="264" w:lineRule="auto"/>
    </w:pPr>
    <w:r>
      <w:rPr>
        <w:noProof/>
        <w:color w:val="000000"/>
      </w:rPr>
      <mc:AlternateContent>
        <mc:Choice Requires="wps">
          <w:drawing>
            <wp:anchor distT="0" distB="0" distL="114300" distR="114300" simplePos="0" relativeHeight="251659264" behindDoc="0" locked="0" layoutInCell="1" allowOverlap="1" wp14:anchorId="766941E3" wp14:editId="3F11889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w:pict w14:anchorId="6468F0F0">
            <v:rect id="Rectangle 233"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37173E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4E47DC4B" w14:textId="77777777" w:rsidTr="61CE887F">
      <w:trPr>
        <w:trHeight w:val="300"/>
      </w:trPr>
      <w:tc>
        <w:tcPr>
          <w:tcW w:w="2770" w:type="dxa"/>
        </w:tcPr>
        <w:p w14:paraId="19C11141" w14:textId="77777777" w:rsidR="61CE887F" w:rsidRDefault="61CE887F" w:rsidP="61CE887F">
          <w:pPr>
            <w:pStyle w:val="Encabezado"/>
            <w:ind w:left="-115"/>
            <w:jc w:val="left"/>
          </w:pPr>
        </w:p>
      </w:tc>
      <w:tc>
        <w:tcPr>
          <w:tcW w:w="2770" w:type="dxa"/>
        </w:tcPr>
        <w:p w14:paraId="1EBF9F37" w14:textId="77777777" w:rsidR="61CE887F" w:rsidRDefault="61CE887F" w:rsidP="61CE887F">
          <w:pPr>
            <w:pStyle w:val="Encabezado"/>
            <w:jc w:val="center"/>
          </w:pPr>
        </w:p>
      </w:tc>
      <w:tc>
        <w:tcPr>
          <w:tcW w:w="2770" w:type="dxa"/>
        </w:tcPr>
        <w:p w14:paraId="384BC817" w14:textId="77777777" w:rsidR="61CE887F" w:rsidRDefault="61CE887F" w:rsidP="61CE887F">
          <w:pPr>
            <w:pStyle w:val="Encabezado"/>
            <w:ind w:right="-115"/>
            <w:jc w:val="right"/>
          </w:pPr>
        </w:p>
      </w:tc>
    </w:tr>
  </w:tbl>
  <w:p w14:paraId="35DAFD18" w14:textId="77777777" w:rsidR="61CE887F" w:rsidRDefault="61CE887F" w:rsidP="61CE887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0756F" w14:textId="77777777" w:rsidR="00F511E0" w:rsidRDefault="00F511E0" w:rsidP="3EDDA7DD">
    <w:pPr>
      <w:spacing w:line="264" w:lineRule="auto"/>
    </w:pPr>
    <w:r>
      <w:rPr>
        <w:noProof/>
        <w:color w:val="000000"/>
      </w:rPr>
      <mc:AlternateContent>
        <mc:Choice Requires="wps">
          <w:drawing>
            <wp:anchor distT="0" distB="0" distL="114300" distR="114300" simplePos="0" relativeHeight="251661312" behindDoc="0" locked="0" layoutInCell="1" allowOverlap="1" wp14:anchorId="1EB0FA1F" wp14:editId="067829C4">
              <wp:simplePos x="0" y="0"/>
              <wp:positionH relativeFrom="margin">
                <wp:align>center</wp:align>
              </wp:positionH>
              <wp:positionV relativeFrom="paragraph">
                <wp:posOffset>357505</wp:posOffset>
              </wp:positionV>
              <wp:extent cx="5755217" cy="0"/>
              <wp:effectExtent l="0" t="19050" r="36195" b="19050"/>
              <wp:wrapNone/>
              <wp:docPr id="1078119346" name="Straight Connector 2"/>
              <wp:cNvGraphicFramePr/>
              <a:graphic xmlns:a="http://schemas.openxmlformats.org/drawingml/2006/main">
                <a:graphicData uri="http://schemas.microsoft.com/office/word/2010/wordprocessingShape">
                  <wps:wsp>
                    <wps:cNvCnPr/>
                    <wps:spPr>
                      <a:xfrm>
                        <a:off x="0" y="0"/>
                        <a:ext cx="5755217" cy="0"/>
                      </a:xfrm>
                      <a:prstGeom prst="line">
                        <a:avLst/>
                      </a:prstGeom>
                      <a:ln w="38100">
                        <a:solidFill>
                          <a:srgbClr val="17A99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E4DF4" id="Straight Connector 2"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15pt" to="453.1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" strokecolor="#17a998" strokeweight="3pt">
              <v:stroke joinstyle="miter"/>
              <w10:wrap anchorx="margin"/>
            </v:line>
          </w:pict>
        </mc:Fallback>
      </mc:AlternateContent>
    </w:r>
    <w:r w:rsidRPr="3EDDA7DD">
      <w:rPr>
        <w:color w:val="156082" w:themeColor="accent1"/>
        <w:sz w:val="20"/>
        <w:szCs w:val="20"/>
      </w:rPr>
      <w:t xml:space="preserve">Integration Analysis </w:t>
    </w:r>
    <w:r>
      <w:tab/>
    </w:r>
    <w:r>
      <w:tab/>
    </w:r>
    <w:r>
      <w:tab/>
    </w:r>
    <w:r>
      <w:tab/>
    </w:r>
    <w:r>
      <w:tab/>
    </w:r>
    <w:r>
      <w:tab/>
    </w:r>
    <w:r>
      <w:tab/>
    </w:r>
    <w:r w:rsidR="005C47DC">
      <w:rPr>
        <w:color w:val="155F81"/>
        <w:sz w:val="20"/>
        <w:szCs w:val="20"/>
      </w:rPr>
      <w:t>ANFORA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00F511E0" w14:paraId="77A60A5B" w14:textId="77777777" w:rsidTr="61CE887F">
      <w:trPr>
        <w:trHeight w:val="300"/>
      </w:trPr>
      <w:tc>
        <w:tcPr>
          <w:tcW w:w="2770" w:type="dxa"/>
        </w:tcPr>
        <w:p w14:paraId="1598E83A" w14:textId="77777777" w:rsidR="00F511E0" w:rsidRDefault="00F511E0" w:rsidP="61CE887F">
          <w:pPr>
            <w:pStyle w:val="Encabezado"/>
            <w:ind w:left="-115"/>
            <w:jc w:val="left"/>
          </w:pPr>
        </w:p>
      </w:tc>
      <w:tc>
        <w:tcPr>
          <w:tcW w:w="2770" w:type="dxa"/>
        </w:tcPr>
        <w:p w14:paraId="2611ACD9" w14:textId="77777777" w:rsidR="00F511E0" w:rsidRDefault="00F511E0" w:rsidP="61CE887F">
          <w:pPr>
            <w:pStyle w:val="Encabezado"/>
            <w:jc w:val="center"/>
          </w:pPr>
        </w:p>
      </w:tc>
      <w:tc>
        <w:tcPr>
          <w:tcW w:w="2770" w:type="dxa"/>
        </w:tcPr>
        <w:p w14:paraId="0F20C804" w14:textId="77777777" w:rsidR="00F511E0" w:rsidRDefault="00F511E0" w:rsidP="61CE887F">
          <w:pPr>
            <w:pStyle w:val="Encabezado"/>
            <w:ind w:right="-115"/>
            <w:jc w:val="right"/>
          </w:pPr>
        </w:p>
      </w:tc>
    </w:tr>
  </w:tbl>
  <w:p w14:paraId="37E83B25" w14:textId="77777777" w:rsidR="00F511E0" w:rsidRDefault="00F511E0" w:rsidP="61CE887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495A7207" w14:textId="77777777" w:rsidTr="61CE887F">
      <w:trPr>
        <w:trHeight w:val="300"/>
      </w:trPr>
      <w:tc>
        <w:tcPr>
          <w:tcW w:w="2770" w:type="dxa"/>
        </w:tcPr>
        <w:p w14:paraId="1D5A5C7E" w14:textId="77777777" w:rsidR="61CE887F" w:rsidRDefault="61CE887F" w:rsidP="61CE887F">
          <w:pPr>
            <w:pStyle w:val="Encabezado"/>
            <w:ind w:left="-115"/>
            <w:jc w:val="left"/>
          </w:pPr>
        </w:p>
      </w:tc>
      <w:tc>
        <w:tcPr>
          <w:tcW w:w="2770" w:type="dxa"/>
        </w:tcPr>
        <w:p w14:paraId="2E9AFD34" w14:textId="77777777" w:rsidR="61CE887F" w:rsidRDefault="61CE887F" w:rsidP="61CE887F">
          <w:pPr>
            <w:pStyle w:val="Encabezado"/>
            <w:jc w:val="center"/>
          </w:pPr>
        </w:p>
      </w:tc>
      <w:tc>
        <w:tcPr>
          <w:tcW w:w="2770" w:type="dxa"/>
        </w:tcPr>
        <w:p w14:paraId="0AF08CE9" w14:textId="77777777" w:rsidR="61CE887F" w:rsidRDefault="61CE887F" w:rsidP="61CE887F">
          <w:pPr>
            <w:pStyle w:val="Encabezado"/>
            <w:ind w:right="-115"/>
            <w:jc w:val="right"/>
          </w:pPr>
        </w:p>
      </w:tc>
    </w:tr>
  </w:tbl>
  <w:p w14:paraId="2DD556E7" w14:textId="77777777" w:rsidR="61CE887F" w:rsidRDefault="61CE887F" w:rsidP="61CE8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A7678A"/>
    <w:multiLevelType w:val="hybridMultilevel"/>
    <w:tmpl w:val="0CE882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2805FE"/>
    <w:multiLevelType w:val="hybridMultilevel"/>
    <w:tmpl w:val="037281A8"/>
    <w:lvl w:ilvl="0" w:tplc="8CAC348C">
      <w:start w:val="1"/>
      <w:numFmt w:val="bullet"/>
      <w:lvlText w:val=""/>
      <w:lvlJc w:val="left"/>
      <w:pPr>
        <w:ind w:left="360" w:hanging="360"/>
      </w:pPr>
      <w:rPr>
        <w:rFonts w:ascii="Symbol" w:hAnsi="Symbol" w:hint="default"/>
      </w:rPr>
    </w:lvl>
    <w:lvl w:ilvl="1" w:tplc="2C94A430">
      <w:start w:val="1"/>
      <w:numFmt w:val="bullet"/>
      <w:lvlText w:val="o"/>
      <w:lvlJc w:val="left"/>
      <w:pPr>
        <w:ind w:left="1080" w:hanging="360"/>
      </w:pPr>
      <w:rPr>
        <w:rFonts w:ascii="Courier New" w:hAnsi="Courier New" w:hint="default"/>
      </w:rPr>
    </w:lvl>
    <w:lvl w:ilvl="2" w:tplc="6FEA06BA">
      <w:start w:val="1"/>
      <w:numFmt w:val="bullet"/>
      <w:lvlText w:val=""/>
      <w:lvlJc w:val="left"/>
      <w:pPr>
        <w:ind w:left="1800" w:hanging="360"/>
      </w:pPr>
      <w:rPr>
        <w:rFonts w:ascii="Wingdings" w:hAnsi="Wingdings" w:hint="default"/>
      </w:rPr>
    </w:lvl>
    <w:lvl w:ilvl="3" w:tplc="7318E512">
      <w:start w:val="1"/>
      <w:numFmt w:val="bullet"/>
      <w:lvlText w:val=""/>
      <w:lvlJc w:val="left"/>
      <w:pPr>
        <w:ind w:left="2520" w:hanging="360"/>
      </w:pPr>
      <w:rPr>
        <w:rFonts w:ascii="Symbol" w:hAnsi="Symbol" w:hint="default"/>
      </w:rPr>
    </w:lvl>
    <w:lvl w:ilvl="4" w:tplc="9940AEBC">
      <w:start w:val="1"/>
      <w:numFmt w:val="bullet"/>
      <w:lvlText w:val="o"/>
      <w:lvlJc w:val="left"/>
      <w:pPr>
        <w:ind w:left="3240" w:hanging="360"/>
      </w:pPr>
      <w:rPr>
        <w:rFonts w:ascii="Courier New" w:hAnsi="Courier New" w:hint="default"/>
      </w:rPr>
    </w:lvl>
    <w:lvl w:ilvl="5" w:tplc="DA86F526">
      <w:start w:val="1"/>
      <w:numFmt w:val="bullet"/>
      <w:lvlText w:val=""/>
      <w:lvlJc w:val="left"/>
      <w:pPr>
        <w:ind w:left="3960" w:hanging="360"/>
      </w:pPr>
      <w:rPr>
        <w:rFonts w:ascii="Wingdings" w:hAnsi="Wingdings" w:hint="default"/>
      </w:rPr>
    </w:lvl>
    <w:lvl w:ilvl="6" w:tplc="4568F972">
      <w:start w:val="1"/>
      <w:numFmt w:val="bullet"/>
      <w:lvlText w:val=""/>
      <w:lvlJc w:val="left"/>
      <w:pPr>
        <w:ind w:left="4680" w:hanging="360"/>
      </w:pPr>
      <w:rPr>
        <w:rFonts w:ascii="Symbol" w:hAnsi="Symbol" w:hint="default"/>
      </w:rPr>
    </w:lvl>
    <w:lvl w:ilvl="7" w:tplc="5508AC6E">
      <w:start w:val="1"/>
      <w:numFmt w:val="bullet"/>
      <w:lvlText w:val="o"/>
      <w:lvlJc w:val="left"/>
      <w:pPr>
        <w:ind w:left="5400" w:hanging="360"/>
      </w:pPr>
      <w:rPr>
        <w:rFonts w:ascii="Courier New" w:hAnsi="Courier New" w:hint="default"/>
      </w:rPr>
    </w:lvl>
    <w:lvl w:ilvl="8" w:tplc="82AA197A">
      <w:start w:val="1"/>
      <w:numFmt w:val="bullet"/>
      <w:lvlText w:val=""/>
      <w:lvlJc w:val="left"/>
      <w:pPr>
        <w:ind w:left="6120" w:hanging="360"/>
      </w:pPr>
      <w:rPr>
        <w:rFonts w:ascii="Wingdings" w:hAnsi="Wingdings" w:hint="default"/>
      </w:rPr>
    </w:lvl>
  </w:abstractNum>
  <w:abstractNum w:abstractNumId="2" w15:restartNumberingAfterBreak="0">
    <w:nsid w:val="78C54E15"/>
    <w:multiLevelType w:val="hybridMultilevel"/>
    <w:tmpl w:val="FFFFFFFF"/>
    <w:lvl w:ilvl="0" w:tplc="490815B0">
      <w:start w:val="1"/>
      <w:numFmt w:val="bullet"/>
      <w:lvlText w:val=""/>
      <w:lvlJc w:val="left"/>
      <w:pPr>
        <w:ind w:left="720" w:hanging="360"/>
      </w:pPr>
      <w:rPr>
        <w:rFonts w:ascii="Symbol" w:hAnsi="Symbol" w:hint="default"/>
      </w:rPr>
    </w:lvl>
    <w:lvl w:ilvl="1" w:tplc="808CE136">
      <w:start w:val="1"/>
      <w:numFmt w:val="bullet"/>
      <w:lvlText w:val="o"/>
      <w:lvlJc w:val="left"/>
      <w:pPr>
        <w:ind w:left="1440" w:hanging="360"/>
      </w:pPr>
      <w:rPr>
        <w:rFonts w:ascii="Courier New" w:hAnsi="Courier New" w:hint="default"/>
      </w:rPr>
    </w:lvl>
    <w:lvl w:ilvl="2" w:tplc="6B9217AA">
      <w:start w:val="1"/>
      <w:numFmt w:val="bullet"/>
      <w:lvlText w:val=""/>
      <w:lvlJc w:val="left"/>
      <w:pPr>
        <w:ind w:left="2160" w:hanging="360"/>
      </w:pPr>
      <w:rPr>
        <w:rFonts w:ascii="Wingdings" w:hAnsi="Wingdings" w:hint="default"/>
      </w:rPr>
    </w:lvl>
    <w:lvl w:ilvl="3" w:tplc="5CEC4E26">
      <w:start w:val="1"/>
      <w:numFmt w:val="bullet"/>
      <w:lvlText w:val=""/>
      <w:lvlJc w:val="left"/>
      <w:pPr>
        <w:ind w:left="2880" w:hanging="360"/>
      </w:pPr>
      <w:rPr>
        <w:rFonts w:ascii="Symbol" w:hAnsi="Symbol" w:hint="default"/>
      </w:rPr>
    </w:lvl>
    <w:lvl w:ilvl="4" w:tplc="93EC71CE">
      <w:start w:val="1"/>
      <w:numFmt w:val="bullet"/>
      <w:lvlText w:val="o"/>
      <w:lvlJc w:val="left"/>
      <w:pPr>
        <w:ind w:left="3600" w:hanging="360"/>
      </w:pPr>
      <w:rPr>
        <w:rFonts w:ascii="Courier New" w:hAnsi="Courier New" w:hint="default"/>
      </w:rPr>
    </w:lvl>
    <w:lvl w:ilvl="5" w:tplc="5034668E">
      <w:start w:val="1"/>
      <w:numFmt w:val="bullet"/>
      <w:lvlText w:val=""/>
      <w:lvlJc w:val="left"/>
      <w:pPr>
        <w:ind w:left="4320" w:hanging="360"/>
      </w:pPr>
      <w:rPr>
        <w:rFonts w:ascii="Wingdings" w:hAnsi="Wingdings" w:hint="default"/>
      </w:rPr>
    </w:lvl>
    <w:lvl w:ilvl="6" w:tplc="D6006E1C">
      <w:start w:val="1"/>
      <w:numFmt w:val="bullet"/>
      <w:lvlText w:val=""/>
      <w:lvlJc w:val="left"/>
      <w:pPr>
        <w:ind w:left="5040" w:hanging="360"/>
      </w:pPr>
      <w:rPr>
        <w:rFonts w:ascii="Symbol" w:hAnsi="Symbol" w:hint="default"/>
      </w:rPr>
    </w:lvl>
    <w:lvl w:ilvl="7" w:tplc="8A7080BC">
      <w:start w:val="1"/>
      <w:numFmt w:val="bullet"/>
      <w:lvlText w:val="o"/>
      <w:lvlJc w:val="left"/>
      <w:pPr>
        <w:ind w:left="5760" w:hanging="360"/>
      </w:pPr>
      <w:rPr>
        <w:rFonts w:ascii="Courier New" w:hAnsi="Courier New" w:hint="default"/>
      </w:rPr>
    </w:lvl>
    <w:lvl w:ilvl="8" w:tplc="4E06B4E2">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184EF1"/>
    <w:rsid w:val="00001B40"/>
    <w:rsid w:val="00004229"/>
    <w:rsid w:val="000467A4"/>
    <w:rsid w:val="000878FD"/>
    <w:rsid w:val="000D0C96"/>
    <w:rsid w:val="000D7FC1"/>
    <w:rsid w:val="001364E4"/>
    <w:rsid w:val="002038FF"/>
    <w:rsid w:val="00254B1B"/>
    <w:rsid w:val="00263020"/>
    <w:rsid w:val="002B32FF"/>
    <w:rsid w:val="002E7286"/>
    <w:rsid w:val="003967CF"/>
    <w:rsid w:val="003F681E"/>
    <w:rsid w:val="00447B7B"/>
    <w:rsid w:val="00546101"/>
    <w:rsid w:val="005C47DC"/>
    <w:rsid w:val="005F64E7"/>
    <w:rsid w:val="0061542B"/>
    <w:rsid w:val="006540DE"/>
    <w:rsid w:val="00681947"/>
    <w:rsid w:val="0069239F"/>
    <w:rsid w:val="006A45BD"/>
    <w:rsid w:val="006C3B64"/>
    <w:rsid w:val="00751B6C"/>
    <w:rsid w:val="007917EB"/>
    <w:rsid w:val="007CE656"/>
    <w:rsid w:val="00811061"/>
    <w:rsid w:val="0085350B"/>
    <w:rsid w:val="008773A4"/>
    <w:rsid w:val="008965D8"/>
    <w:rsid w:val="008E426D"/>
    <w:rsid w:val="008E5D44"/>
    <w:rsid w:val="008F1154"/>
    <w:rsid w:val="00974B6F"/>
    <w:rsid w:val="00A2384F"/>
    <w:rsid w:val="00A662B1"/>
    <w:rsid w:val="00A6638C"/>
    <w:rsid w:val="00A82874"/>
    <w:rsid w:val="00A94092"/>
    <w:rsid w:val="00AC2418"/>
    <w:rsid w:val="00AF315D"/>
    <w:rsid w:val="00AF7256"/>
    <w:rsid w:val="00BC6908"/>
    <w:rsid w:val="00C633AF"/>
    <w:rsid w:val="00C65995"/>
    <w:rsid w:val="00CB017C"/>
    <w:rsid w:val="00CC360A"/>
    <w:rsid w:val="00D82337"/>
    <w:rsid w:val="00D920B7"/>
    <w:rsid w:val="00DB4CE1"/>
    <w:rsid w:val="00E03F66"/>
    <w:rsid w:val="00E9350C"/>
    <w:rsid w:val="00F47DD5"/>
    <w:rsid w:val="00F511E0"/>
    <w:rsid w:val="00F66955"/>
    <w:rsid w:val="00F964EC"/>
    <w:rsid w:val="00FF42B6"/>
    <w:rsid w:val="01050A32"/>
    <w:rsid w:val="012B8BDC"/>
    <w:rsid w:val="0176C4BC"/>
    <w:rsid w:val="017FA911"/>
    <w:rsid w:val="01A9A11A"/>
    <w:rsid w:val="01DE3800"/>
    <w:rsid w:val="01E677DE"/>
    <w:rsid w:val="0221A050"/>
    <w:rsid w:val="025ED22F"/>
    <w:rsid w:val="027DE5C3"/>
    <w:rsid w:val="02A036F6"/>
    <w:rsid w:val="02DB94A0"/>
    <w:rsid w:val="031AAFC9"/>
    <w:rsid w:val="03986C7E"/>
    <w:rsid w:val="04960DAE"/>
    <w:rsid w:val="04C037BE"/>
    <w:rsid w:val="0503B701"/>
    <w:rsid w:val="054A68EF"/>
    <w:rsid w:val="05A1D9C7"/>
    <w:rsid w:val="05B849AD"/>
    <w:rsid w:val="05CFD494"/>
    <w:rsid w:val="05D43B8C"/>
    <w:rsid w:val="0683EB4B"/>
    <w:rsid w:val="06896EAE"/>
    <w:rsid w:val="06A4F30E"/>
    <w:rsid w:val="071B7FCA"/>
    <w:rsid w:val="07836C58"/>
    <w:rsid w:val="07C30A7F"/>
    <w:rsid w:val="07CB2A66"/>
    <w:rsid w:val="07DC9250"/>
    <w:rsid w:val="080935FE"/>
    <w:rsid w:val="082633CA"/>
    <w:rsid w:val="083AE7EE"/>
    <w:rsid w:val="085056BD"/>
    <w:rsid w:val="085BF15D"/>
    <w:rsid w:val="08AC5DA2"/>
    <w:rsid w:val="08B324AC"/>
    <w:rsid w:val="08F46501"/>
    <w:rsid w:val="09508F64"/>
    <w:rsid w:val="0997E930"/>
    <w:rsid w:val="09DF4816"/>
    <w:rsid w:val="0A98C9D1"/>
    <w:rsid w:val="0AD2E259"/>
    <w:rsid w:val="0AE34FFB"/>
    <w:rsid w:val="0B0FF38E"/>
    <w:rsid w:val="0B237FCC"/>
    <w:rsid w:val="0B41557C"/>
    <w:rsid w:val="0B64F0CE"/>
    <w:rsid w:val="0C0F1C00"/>
    <w:rsid w:val="0C20A01E"/>
    <w:rsid w:val="0C51805E"/>
    <w:rsid w:val="0C9F8831"/>
    <w:rsid w:val="0D065CB5"/>
    <w:rsid w:val="0D3FD67A"/>
    <w:rsid w:val="0D7D9D98"/>
    <w:rsid w:val="0DCDE615"/>
    <w:rsid w:val="0EA367E9"/>
    <w:rsid w:val="0EB8EC77"/>
    <w:rsid w:val="0F249560"/>
    <w:rsid w:val="0F6A89ED"/>
    <w:rsid w:val="0FC9EAAB"/>
    <w:rsid w:val="0FE75B63"/>
    <w:rsid w:val="104C1103"/>
    <w:rsid w:val="1074CFF4"/>
    <w:rsid w:val="10BD7FA9"/>
    <w:rsid w:val="10BDC791"/>
    <w:rsid w:val="10FD1C30"/>
    <w:rsid w:val="11496E9A"/>
    <w:rsid w:val="115EBAD4"/>
    <w:rsid w:val="11A4EB78"/>
    <w:rsid w:val="12B3B242"/>
    <w:rsid w:val="12F0F7B5"/>
    <w:rsid w:val="13454CCE"/>
    <w:rsid w:val="13B91208"/>
    <w:rsid w:val="143793F5"/>
    <w:rsid w:val="146C974B"/>
    <w:rsid w:val="14852349"/>
    <w:rsid w:val="1490D94E"/>
    <w:rsid w:val="149FD8D2"/>
    <w:rsid w:val="14BD7604"/>
    <w:rsid w:val="14CBEB04"/>
    <w:rsid w:val="14E10ECD"/>
    <w:rsid w:val="15480E68"/>
    <w:rsid w:val="15674EE5"/>
    <w:rsid w:val="1581F3BC"/>
    <w:rsid w:val="1597F43B"/>
    <w:rsid w:val="15EB6D70"/>
    <w:rsid w:val="16333CAE"/>
    <w:rsid w:val="163732E5"/>
    <w:rsid w:val="16A5FBFB"/>
    <w:rsid w:val="16D8E8CC"/>
    <w:rsid w:val="170AA8DB"/>
    <w:rsid w:val="1764A7A4"/>
    <w:rsid w:val="176E2E48"/>
    <w:rsid w:val="1771BD53"/>
    <w:rsid w:val="1780CFD6"/>
    <w:rsid w:val="17AE9D49"/>
    <w:rsid w:val="17BC1DA7"/>
    <w:rsid w:val="17C5BD0F"/>
    <w:rsid w:val="17C8AFE2"/>
    <w:rsid w:val="17EC65A7"/>
    <w:rsid w:val="18181826"/>
    <w:rsid w:val="188A6F66"/>
    <w:rsid w:val="18AE0EF2"/>
    <w:rsid w:val="18E2D519"/>
    <w:rsid w:val="1908F4C7"/>
    <w:rsid w:val="192A56BA"/>
    <w:rsid w:val="192AA90F"/>
    <w:rsid w:val="197C00BF"/>
    <w:rsid w:val="199CDB6A"/>
    <w:rsid w:val="19D4BCB0"/>
    <w:rsid w:val="1A7B8148"/>
    <w:rsid w:val="1AD71DCB"/>
    <w:rsid w:val="1B47BCF4"/>
    <w:rsid w:val="1BC4203A"/>
    <w:rsid w:val="1BCA717B"/>
    <w:rsid w:val="1BD540CB"/>
    <w:rsid w:val="1C41E34C"/>
    <w:rsid w:val="1C516E57"/>
    <w:rsid w:val="1C8BCF21"/>
    <w:rsid w:val="1CB4A25F"/>
    <w:rsid w:val="1D8503DC"/>
    <w:rsid w:val="1D935174"/>
    <w:rsid w:val="1DF19AD2"/>
    <w:rsid w:val="1E3E2670"/>
    <w:rsid w:val="1E4D6B02"/>
    <w:rsid w:val="1E691949"/>
    <w:rsid w:val="1E879FAE"/>
    <w:rsid w:val="1EE6C224"/>
    <w:rsid w:val="1F2009CB"/>
    <w:rsid w:val="1F6CF5C3"/>
    <w:rsid w:val="1F9D67BA"/>
    <w:rsid w:val="1FC4F8BA"/>
    <w:rsid w:val="1FF47B67"/>
    <w:rsid w:val="2085B9CC"/>
    <w:rsid w:val="20DCD181"/>
    <w:rsid w:val="20E84DC4"/>
    <w:rsid w:val="20E85768"/>
    <w:rsid w:val="214454F8"/>
    <w:rsid w:val="219CF1B9"/>
    <w:rsid w:val="21DC2D4E"/>
    <w:rsid w:val="22343B7C"/>
    <w:rsid w:val="2289BF9A"/>
    <w:rsid w:val="228EC633"/>
    <w:rsid w:val="233E8CA8"/>
    <w:rsid w:val="2365AB15"/>
    <w:rsid w:val="23D8E180"/>
    <w:rsid w:val="23E05217"/>
    <w:rsid w:val="241618BD"/>
    <w:rsid w:val="243086BB"/>
    <w:rsid w:val="244CF617"/>
    <w:rsid w:val="24559B1B"/>
    <w:rsid w:val="2466C5EC"/>
    <w:rsid w:val="24BFBE0F"/>
    <w:rsid w:val="24C8DFAF"/>
    <w:rsid w:val="24D6FFFF"/>
    <w:rsid w:val="24F75378"/>
    <w:rsid w:val="2567185A"/>
    <w:rsid w:val="258F1FB9"/>
    <w:rsid w:val="25AE552C"/>
    <w:rsid w:val="25C05879"/>
    <w:rsid w:val="25C742C3"/>
    <w:rsid w:val="265F8FA5"/>
    <w:rsid w:val="2661A59A"/>
    <w:rsid w:val="266732A6"/>
    <w:rsid w:val="266F9777"/>
    <w:rsid w:val="26C4C8DB"/>
    <w:rsid w:val="27003B74"/>
    <w:rsid w:val="27EF2F82"/>
    <w:rsid w:val="28090290"/>
    <w:rsid w:val="28255A1A"/>
    <w:rsid w:val="283E742C"/>
    <w:rsid w:val="2843260D"/>
    <w:rsid w:val="28572221"/>
    <w:rsid w:val="291CDF9C"/>
    <w:rsid w:val="29971020"/>
    <w:rsid w:val="29B59441"/>
    <w:rsid w:val="29C34F7F"/>
    <w:rsid w:val="2A00CA93"/>
    <w:rsid w:val="2A6DD9B4"/>
    <w:rsid w:val="2A92E1BD"/>
    <w:rsid w:val="2AA85C1A"/>
    <w:rsid w:val="2AEB3E6D"/>
    <w:rsid w:val="2B105BA3"/>
    <w:rsid w:val="2B41AA01"/>
    <w:rsid w:val="2B99C050"/>
    <w:rsid w:val="2BDF3020"/>
    <w:rsid w:val="2C2A0044"/>
    <w:rsid w:val="2C9CC277"/>
    <w:rsid w:val="2CB0EBAB"/>
    <w:rsid w:val="2D358748"/>
    <w:rsid w:val="2D3E8C76"/>
    <w:rsid w:val="2D755A32"/>
    <w:rsid w:val="2DA0FC81"/>
    <w:rsid w:val="2DACE233"/>
    <w:rsid w:val="2DC21575"/>
    <w:rsid w:val="2DF4454A"/>
    <w:rsid w:val="2E0626EB"/>
    <w:rsid w:val="2E1B2E9B"/>
    <w:rsid w:val="2E3A0E66"/>
    <w:rsid w:val="2E64CB4D"/>
    <w:rsid w:val="2E6A0D03"/>
    <w:rsid w:val="2EA2DE15"/>
    <w:rsid w:val="2EAB33FA"/>
    <w:rsid w:val="2EB30B77"/>
    <w:rsid w:val="2EB889D4"/>
    <w:rsid w:val="2F04A258"/>
    <w:rsid w:val="2F12B4B7"/>
    <w:rsid w:val="2F9AB31B"/>
    <w:rsid w:val="30310163"/>
    <w:rsid w:val="305FC41C"/>
    <w:rsid w:val="3070B6CE"/>
    <w:rsid w:val="307CC729"/>
    <w:rsid w:val="308DFA03"/>
    <w:rsid w:val="30939B6E"/>
    <w:rsid w:val="30ACBB2A"/>
    <w:rsid w:val="30B3B3F3"/>
    <w:rsid w:val="3109A153"/>
    <w:rsid w:val="311D6886"/>
    <w:rsid w:val="31359E9B"/>
    <w:rsid w:val="316CE7E3"/>
    <w:rsid w:val="31992B0C"/>
    <w:rsid w:val="32085334"/>
    <w:rsid w:val="32101689"/>
    <w:rsid w:val="32184EF1"/>
    <w:rsid w:val="325D89C8"/>
    <w:rsid w:val="327A586E"/>
    <w:rsid w:val="3320803F"/>
    <w:rsid w:val="334D3118"/>
    <w:rsid w:val="33588FF5"/>
    <w:rsid w:val="33AD578D"/>
    <w:rsid w:val="3449B061"/>
    <w:rsid w:val="34530894"/>
    <w:rsid w:val="3476FB23"/>
    <w:rsid w:val="348A1BB4"/>
    <w:rsid w:val="349C4A98"/>
    <w:rsid w:val="349C99A3"/>
    <w:rsid w:val="34A06820"/>
    <w:rsid w:val="34A37097"/>
    <w:rsid w:val="34F06223"/>
    <w:rsid w:val="3503F8F2"/>
    <w:rsid w:val="352CD3C1"/>
    <w:rsid w:val="3559A146"/>
    <w:rsid w:val="35D23599"/>
    <w:rsid w:val="35D2A087"/>
    <w:rsid w:val="35F4C04A"/>
    <w:rsid w:val="3612E690"/>
    <w:rsid w:val="365696A2"/>
    <w:rsid w:val="368F9EC1"/>
    <w:rsid w:val="36B08218"/>
    <w:rsid w:val="36FEA979"/>
    <w:rsid w:val="37171B0D"/>
    <w:rsid w:val="374AC29F"/>
    <w:rsid w:val="3788BDDF"/>
    <w:rsid w:val="37942F65"/>
    <w:rsid w:val="380FE86B"/>
    <w:rsid w:val="385A0646"/>
    <w:rsid w:val="38C7ABE4"/>
    <w:rsid w:val="390C8BB8"/>
    <w:rsid w:val="392FADDD"/>
    <w:rsid w:val="39563078"/>
    <w:rsid w:val="39BB885A"/>
    <w:rsid w:val="3A0B2877"/>
    <w:rsid w:val="3A24F6F5"/>
    <w:rsid w:val="3A40C5A6"/>
    <w:rsid w:val="3A59032C"/>
    <w:rsid w:val="3A8BFE89"/>
    <w:rsid w:val="3B1F2400"/>
    <w:rsid w:val="3B236704"/>
    <w:rsid w:val="3B32C99F"/>
    <w:rsid w:val="3B3BB718"/>
    <w:rsid w:val="3B3F3261"/>
    <w:rsid w:val="3B6000F2"/>
    <w:rsid w:val="3BDE7DF2"/>
    <w:rsid w:val="3BE34F20"/>
    <w:rsid w:val="3C4FA6FF"/>
    <w:rsid w:val="3C5C087A"/>
    <w:rsid w:val="3CD6D192"/>
    <w:rsid w:val="3D415D01"/>
    <w:rsid w:val="3D525A64"/>
    <w:rsid w:val="3DE0BF3D"/>
    <w:rsid w:val="3E366B5B"/>
    <w:rsid w:val="3E751B3D"/>
    <w:rsid w:val="3E90FE3E"/>
    <w:rsid w:val="3EDDA7DD"/>
    <w:rsid w:val="3F031737"/>
    <w:rsid w:val="3F5BAFF8"/>
    <w:rsid w:val="3FE04471"/>
    <w:rsid w:val="3FFDC3A4"/>
    <w:rsid w:val="401B183A"/>
    <w:rsid w:val="40A42317"/>
    <w:rsid w:val="40EAA728"/>
    <w:rsid w:val="41943B7E"/>
    <w:rsid w:val="419C732F"/>
    <w:rsid w:val="41CA282D"/>
    <w:rsid w:val="41EE70B9"/>
    <w:rsid w:val="42031346"/>
    <w:rsid w:val="420D64CA"/>
    <w:rsid w:val="420F81A6"/>
    <w:rsid w:val="422CDCB3"/>
    <w:rsid w:val="42B238ED"/>
    <w:rsid w:val="4322BFD6"/>
    <w:rsid w:val="43537363"/>
    <w:rsid w:val="439DEC75"/>
    <w:rsid w:val="43AEC0E4"/>
    <w:rsid w:val="441EBDBB"/>
    <w:rsid w:val="44203B43"/>
    <w:rsid w:val="4450933A"/>
    <w:rsid w:val="4472217A"/>
    <w:rsid w:val="449A05ED"/>
    <w:rsid w:val="44D6DA98"/>
    <w:rsid w:val="45016B54"/>
    <w:rsid w:val="4572E86F"/>
    <w:rsid w:val="45E1BAA6"/>
    <w:rsid w:val="46330763"/>
    <w:rsid w:val="4647B6DE"/>
    <w:rsid w:val="467F096E"/>
    <w:rsid w:val="46D6F918"/>
    <w:rsid w:val="472089E8"/>
    <w:rsid w:val="4723BBBB"/>
    <w:rsid w:val="47573167"/>
    <w:rsid w:val="4781F86E"/>
    <w:rsid w:val="47ABF49E"/>
    <w:rsid w:val="47E957E3"/>
    <w:rsid w:val="47FCD16D"/>
    <w:rsid w:val="488E42F9"/>
    <w:rsid w:val="48B2C2E0"/>
    <w:rsid w:val="48BB0B25"/>
    <w:rsid w:val="494BDA79"/>
    <w:rsid w:val="49760D88"/>
    <w:rsid w:val="49B89FCA"/>
    <w:rsid w:val="49BE7A9C"/>
    <w:rsid w:val="49C5BDD3"/>
    <w:rsid w:val="49DE52CB"/>
    <w:rsid w:val="49E11669"/>
    <w:rsid w:val="4A0CA511"/>
    <w:rsid w:val="4AA68479"/>
    <w:rsid w:val="4B06BF8F"/>
    <w:rsid w:val="4B8E7AEC"/>
    <w:rsid w:val="4BF3396B"/>
    <w:rsid w:val="4BF5933E"/>
    <w:rsid w:val="4C0DEA2B"/>
    <w:rsid w:val="4C454BE9"/>
    <w:rsid w:val="4CE5F4BB"/>
    <w:rsid w:val="4CE6AB98"/>
    <w:rsid w:val="4D32631A"/>
    <w:rsid w:val="4D4436BF"/>
    <w:rsid w:val="4DA8285D"/>
    <w:rsid w:val="4E193955"/>
    <w:rsid w:val="4E3AFE67"/>
    <w:rsid w:val="4E48A7EB"/>
    <w:rsid w:val="4ED41DE2"/>
    <w:rsid w:val="4F4E770A"/>
    <w:rsid w:val="4F879C18"/>
    <w:rsid w:val="4FB69916"/>
    <w:rsid w:val="5002B43F"/>
    <w:rsid w:val="5006B9B4"/>
    <w:rsid w:val="501BEDEB"/>
    <w:rsid w:val="501D43B4"/>
    <w:rsid w:val="5047B490"/>
    <w:rsid w:val="506601EC"/>
    <w:rsid w:val="51286883"/>
    <w:rsid w:val="513997A5"/>
    <w:rsid w:val="51657B8A"/>
    <w:rsid w:val="5174EBD5"/>
    <w:rsid w:val="51924FBC"/>
    <w:rsid w:val="51957D05"/>
    <w:rsid w:val="51D5C4A3"/>
    <w:rsid w:val="51EADBCD"/>
    <w:rsid w:val="523B069E"/>
    <w:rsid w:val="5243BEB5"/>
    <w:rsid w:val="525ECCD5"/>
    <w:rsid w:val="5291EF70"/>
    <w:rsid w:val="535AD488"/>
    <w:rsid w:val="53C9D501"/>
    <w:rsid w:val="543A9E5E"/>
    <w:rsid w:val="54ADD966"/>
    <w:rsid w:val="54B22C10"/>
    <w:rsid w:val="54B68567"/>
    <w:rsid w:val="551CD5E1"/>
    <w:rsid w:val="55700887"/>
    <w:rsid w:val="558BC91B"/>
    <w:rsid w:val="5595B37D"/>
    <w:rsid w:val="55B537EC"/>
    <w:rsid w:val="55D1BE4C"/>
    <w:rsid w:val="55D2007B"/>
    <w:rsid w:val="55EAEF99"/>
    <w:rsid w:val="561AE391"/>
    <w:rsid w:val="5633935B"/>
    <w:rsid w:val="563E5852"/>
    <w:rsid w:val="567D467B"/>
    <w:rsid w:val="568C2A43"/>
    <w:rsid w:val="56DF3E13"/>
    <w:rsid w:val="57036588"/>
    <w:rsid w:val="5711BF63"/>
    <w:rsid w:val="57204E18"/>
    <w:rsid w:val="5769D706"/>
    <w:rsid w:val="576E86CA"/>
    <w:rsid w:val="58065F9D"/>
    <w:rsid w:val="58985AB6"/>
    <w:rsid w:val="58E1F3AE"/>
    <w:rsid w:val="5901B3B2"/>
    <w:rsid w:val="596FCD89"/>
    <w:rsid w:val="59D95BA9"/>
    <w:rsid w:val="5B316012"/>
    <w:rsid w:val="5B4A1E69"/>
    <w:rsid w:val="5B4B32C2"/>
    <w:rsid w:val="5B65308F"/>
    <w:rsid w:val="5BA6A9EB"/>
    <w:rsid w:val="5BD096C9"/>
    <w:rsid w:val="5C1F01A0"/>
    <w:rsid w:val="5CFA9CF6"/>
    <w:rsid w:val="5D2CDE52"/>
    <w:rsid w:val="5D556E04"/>
    <w:rsid w:val="5D725B44"/>
    <w:rsid w:val="5D936317"/>
    <w:rsid w:val="5D966C30"/>
    <w:rsid w:val="5DCC9417"/>
    <w:rsid w:val="5E18DB4B"/>
    <w:rsid w:val="5E3B67A7"/>
    <w:rsid w:val="5E53C1B0"/>
    <w:rsid w:val="5E93BD9D"/>
    <w:rsid w:val="5E9A27EB"/>
    <w:rsid w:val="5EA65410"/>
    <w:rsid w:val="5EC0E8E6"/>
    <w:rsid w:val="5FD92FBC"/>
    <w:rsid w:val="600F3CB8"/>
    <w:rsid w:val="6030C6BE"/>
    <w:rsid w:val="60BC8B56"/>
    <w:rsid w:val="6100511F"/>
    <w:rsid w:val="61033E95"/>
    <w:rsid w:val="610F03A9"/>
    <w:rsid w:val="61128732"/>
    <w:rsid w:val="61AAE50A"/>
    <w:rsid w:val="61CE887F"/>
    <w:rsid w:val="62194177"/>
    <w:rsid w:val="62260EE3"/>
    <w:rsid w:val="624A3FCA"/>
    <w:rsid w:val="626A8A55"/>
    <w:rsid w:val="62973765"/>
    <w:rsid w:val="62B68DC0"/>
    <w:rsid w:val="63089CA3"/>
    <w:rsid w:val="63719A4C"/>
    <w:rsid w:val="6381A497"/>
    <w:rsid w:val="63CB44F8"/>
    <w:rsid w:val="63E7AB7B"/>
    <w:rsid w:val="63FB4ACD"/>
    <w:rsid w:val="649837AF"/>
    <w:rsid w:val="651122DF"/>
    <w:rsid w:val="654C79D0"/>
    <w:rsid w:val="65C1EEBE"/>
    <w:rsid w:val="65F07EE9"/>
    <w:rsid w:val="65FB014E"/>
    <w:rsid w:val="668012FC"/>
    <w:rsid w:val="66B2FA86"/>
    <w:rsid w:val="6706E81F"/>
    <w:rsid w:val="673DC72D"/>
    <w:rsid w:val="6742A3FF"/>
    <w:rsid w:val="679FC074"/>
    <w:rsid w:val="67A83B96"/>
    <w:rsid w:val="67ADACC2"/>
    <w:rsid w:val="67E2CCEA"/>
    <w:rsid w:val="6824D2BE"/>
    <w:rsid w:val="684C073F"/>
    <w:rsid w:val="690EFBA8"/>
    <w:rsid w:val="691C60C9"/>
    <w:rsid w:val="697304B5"/>
    <w:rsid w:val="6990C6B6"/>
    <w:rsid w:val="69933B31"/>
    <w:rsid w:val="6A026BEE"/>
    <w:rsid w:val="6A15D0D6"/>
    <w:rsid w:val="6A272C2A"/>
    <w:rsid w:val="6AA94AEC"/>
    <w:rsid w:val="6AF41A47"/>
    <w:rsid w:val="6B290921"/>
    <w:rsid w:val="6B7C77A0"/>
    <w:rsid w:val="6BC640C4"/>
    <w:rsid w:val="6C527942"/>
    <w:rsid w:val="6CA120F5"/>
    <w:rsid w:val="6CD32BFF"/>
    <w:rsid w:val="6D6A5F29"/>
    <w:rsid w:val="6D6F0450"/>
    <w:rsid w:val="6D84CEF3"/>
    <w:rsid w:val="6DA48952"/>
    <w:rsid w:val="6DB383D5"/>
    <w:rsid w:val="6DD597EB"/>
    <w:rsid w:val="6DF2E6FB"/>
    <w:rsid w:val="6E2E45BD"/>
    <w:rsid w:val="6EAE4BDB"/>
    <w:rsid w:val="6F6564B9"/>
    <w:rsid w:val="6F89EC79"/>
    <w:rsid w:val="6F95E113"/>
    <w:rsid w:val="6FABAB99"/>
    <w:rsid w:val="707E544F"/>
    <w:rsid w:val="708C4E75"/>
    <w:rsid w:val="70C3AD01"/>
    <w:rsid w:val="70DCD5B3"/>
    <w:rsid w:val="7108C370"/>
    <w:rsid w:val="713CEC5A"/>
    <w:rsid w:val="71432CA0"/>
    <w:rsid w:val="717486ED"/>
    <w:rsid w:val="717C263C"/>
    <w:rsid w:val="71E4976E"/>
    <w:rsid w:val="7205B49E"/>
    <w:rsid w:val="7225982C"/>
    <w:rsid w:val="722CA18A"/>
    <w:rsid w:val="7241888B"/>
    <w:rsid w:val="72A504F7"/>
    <w:rsid w:val="7319AE1C"/>
    <w:rsid w:val="731A94F0"/>
    <w:rsid w:val="732CF6B7"/>
    <w:rsid w:val="733BBC76"/>
    <w:rsid w:val="737368A5"/>
    <w:rsid w:val="73AF459C"/>
    <w:rsid w:val="73D30A8D"/>
    <w:rsid w:val="73E5DDE5"/>
    <w:rsid w:val="741D26D1"/>
    <w:rsid w:val="7429C54E"/>
    <w:rsid w:val="7453B312"/>
    <w:rsid w:val="751E191B"/>
    <w:rsid w:val="75538C19"/>
    <w:rsid w:val="7563FA90"/>
    <w:rsid w:val="7578C810"/>
    <w:rsid w:val="75921D72"/>
    <w:rsid w:val="760123A0"/>
    <w:rsid w:val="76249192"/>
    <w:rsid w:val="7634C4C9"/>
    <w:rsid w:val="76754EC7"/>
    <w:rsid w:val="769CB0D9"/>
    <w:rsid w:val="7760F49E"/>
    <w:rsid w:val="77625D86"/>
    <w:rsid w:val="7763A624"/>
    <w:rsid w:val="7772918B"/>
    <w:rsid w:val="781710CE"/>
    <w:rsid w:val="7865CED7"/>
    <w:rsid w:val="787B3DBE"/>
    <w:rsid w:val="78A181AF"/>
    <w:rsid w:val="78A55419"/>
    <w:rsid w:val="790138C5"/>
    <w:rsid w:val="793EB4D7"/>
    <w:rsid w:val="795C3166"/>
    <w:rsid w:val="798F5C62"/>
    <w:rsid w:val="79D6BB6B"/>
    <w:rsid w:val="79DACC73"/>
    <w:rsid w:val="7A16A29B"/>
    <w:rsid w:val="7A588A96"/>
    <w:rsid w:val="7A591C8F"/>
    <w:rsid w:val="7A81EB4B"/>
    <w:rsid w:val="7A9057B0"/>
    <w:rsid w:val="7AD74777"/>
    <w:rsid w:val="7B3C42AB"/>
    <w:rsid w:val="7B562010"/>
    <w:rsid w:val="7B5E2555"/>
    <w:rsid w:val="7B72715F"/>
    <w:rsid w:val="7B7FF1A1"/>
    <w:rsid w:val="7BC35B56"/>
    <w:rsid w:val="7BE22268"/>
    <w:rsid w:val="7BF78CA9"/>
    <w:rsid w:val="7C0C2661"/>
    <w:rsid w:val="7C1264BC"/>
    <w:rsid w:val="7C39C517"/>
    <w:rsid w:val="7C5868AC"/>
    <w:rsid w:val="7CCD8DD7"/>
    <w:rsid w:val="7CEBDE84"/>
    <w:rsid w:val="7D16C503"/>
    <w:rsid w:val="7D3897F7"/>
    <w:rsid w:val="7D7277F3"/>
    <w:rsid w:val="7DAD90B7"/>
    <w:rsid w:val="7DB0656B"/>
    <w:rsid w:val="7DBD22CE"/>
    <w:rsid w:val="7DF5E954"/>
    <w:rsid w:val="7DF950D5"/>
    <w:rsid w:val="7E10FCE4"/>
    <w:rsid w:val="7E2D06ED"/>
    <w:rsid w:val="7E410EE0"/>
    <w:rsid w:val="7E819170"/>
    <w:rsid w:val="7EA2520B"/>
    <w:rsid w:val="7F161847"/>
    <w:rsid w:val="7F75D0D2"/>
    <w:rsid w:val="7F9A063B"/>
    <w:rsid w:val="7FE9602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B43B1"/>
  <w15:chartTrackingRefBased/>
  <w15:docId w15:val="{D17ABA84-33D2-4EAD-9716-FD719DA6F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101"/>
    <w:pPr>
      <w:spacing w:line="360" w:lineRule="auto"/>
      <w:jc w:val="both"/>
    </w:pPr>
    <w:rPr>
      <w:rFonts w:ascii="Calibri" w:hAnsi="Calibri"/>
      <w:lang w:val="en-GB"/>
    </w:rPr>
  </w:style>
  <w:style w:type="paragraph" w:styleId="Ttulo1">
    <w:name w:val="heading 1"/>
    <w:basedOn w:val="Normal"/>
    <w:next w:val="Normal"/>
    <w:uiPriority w:val="9"/>
    <w:qFormat/>
    <w:rsid w:val="0C0F1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C0F1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autoRedefine/>
    <w:uiPriority w:val="9"/>
    <w:unhideWhenUsed/>
    <w:qFormat/>
    <w:rsid w:val="008773A4"/>
    <w:pPr>
      <w:keepNext/>
      <w:keepLines/>
      <w:spacing w:before="160" w:after="80"/>
      <w:outlineLvl w:val="2"/>
    </w:pPr>
    <w:rPr>
      <w:rFonts w:eastAsiaTheme="majorEastAsia" w:cstheme="majorBidi"/>
      <w:b/>
      <w:bCs/>
      <w:color w:val="0F4761" w:themeColor="accent1" w:themeShade="BF"/>
      <w:sz w:val="28"/>
      <w:szCs w:val="28"/>
    </w:rPr>
  </w:style>
  <w:style w:type="paragraph" w:styleId="Ttulo4">
    <w:name w:val="heading 4"/>
    <w:basedOn w:val="Normal"/>
    <w:next w:val="Normal"/>
    <w:autoRedefine/>
    <w:uiPriority w:val="9"/>
    <w:unhideWhenUsed/>
    <w:qFormat/>
    <w:rsid w:val="008773A4"/>
    <w:pPr>
      <w:keepNext/>
      <w:keepLines/>
      <w:spacing w:before="319" w:after="319"/>
      <w:outlineLvl w:val="3"/>
    </w:pPr>
    <w:rPr>
      <w:rFonts w:eastAsia="Aptos" w:cs="Aptos"/>
      <w:b/>
      <w:bCs/>
      <w:i/>
      <w:iCs/>
      <w:color w:val="0F4761" w:themeColor="accent1" w:themeShade="BF"/>
    </w:rPr>
  </w:style>
  <w:style w:type="paragraph" w:styleId="Ttulo5">
    <w:name w:val="heading 5"/>
    <w:basedOn w:val="Normal"/>
    <w:next w:val="Normal"/>
    <w:uiPriority w:val="9"/>
    <w:unhideWhenUsed/>
    <w:qFormat/>
    <w:rsid w:val="3EDDA7DD"/>
    <w:pPr>
      <w:keepNext/>
      <w:keepLines/>
      <w:spacing w:before="80" w:after="40"/>
      <w:outlineLvl w:val="4"/>
    </w:pPr>
    <w:rPr>
      <w:rFonts w:eastAsiaTheme="majorEastAsia"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58065F9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mmentText">
    <w:name w:val="Comment Text"/>
    <w:basedOn w:val="Normal"/>
    <w:link w:val="CommentTextChar"/>
    <w:uiPriority w:val="99"/>
    <w:unhideWhenUsed/>
    <w:pPr>
      <w:spacing w:line="240" w:lineRule="auto"/>
    </w:pPr>
    <w:rPr>
      <w:sz w:val="20"/>
      <w:szCs w:val="20"/>
    </w:rPr>
  </w:style>
  <w:style w:type="character" w:customStyle="1" w:styleId="CommentTextChar">
    <w:name w:val="Comment Text Char"/>
    <w:basedOn w:val="Fuentedeprrafopredeter"/>
    <w:link w:val="CommentText"/>
    <w:uiPriority w:val="99"/>
    <w:rPr>
      <w:sz w:val="20"/>
      <w:szCs w:val="20"/>
    </w:rPr>
  </w:style>
  <w:style w:type="character" w:customStyle="1" w:styleId="CommentReference">
    <w:name w:val="Comment Reference"/>
    <w:basedOn w:val="Fuentedeprrafopredeter"/>
    <w:uiPriority w:val="99"/>
    <w:semiHidden/>
    <w:unhideWhenUsed/>
    <w:rPr>
      <w:sz w:val="16"/>
      <w:szCs w:val="16"/>
    </w:rPr>
  </w:style>
  <w:style w:type="paragraph" w:styleId="Encabezado">
    <w:name w:val="header"/>
    <w:basedOn w:val="Normal"/>
    <w:uiPriority w:val="99"/>
    <w:unhideWhenUsed/>
    <w:rsid w:val="441EBDBB"/>
    <w:pPr>
      <w:tabs>
        <w:tab w:val="center" w:pos="4680"/>
        <w:tab w:val="right" w:pos="9360"/>
      </w:tabs>
      <w:spacing w:after="0" w:line="240" w:lineRule="auto"/>
    </w:pPr>
  </w:style>
  <w:style w:type="paragraph" w:styleId="Piedepgina">
    <w:name w:val="footer"/>
    <w:basedOn w:val="Normal"/>
    <w:link w:val="PiedepginaCar"/>
    <w:uiPriority w:val="99"/>
    <w:unhideWhenUsed/>
    <w:rsid w:val="441EBDBB"/>
    <w:pPr>
      <w:tabs>
        <w:tab w:val="center" w:pos="4680"/>
        <w:tab w:val="right" w:pos="9360"/>
      </w:tabs>
      <w:spacing w:after="0" w:line="240" w:lineRule="auto"/>
    </w:pPr>
  </w:style>
  <w:style w:type="paragraph" w:styleId="TDC3">
    <w:name w:val="toc 3"/>
    <w:basedOn w:val="Normal"/>
    <w:next w:val="Normal"/>
    <w:uiPriority w:val="39"/>
    <w:unhideWhenUsed/>
    <w:rsid w:val="441EBDBB"/>
    <w:pPr>
      <w:spacing w:after="100"/>
      <w:ind w:left="440"/>
    </w:pPr>
  </w:style>
  <w:style w:type="character" w:styleId="Hipervnculo">
    <w:name w:val="Hyperlink"/>
    <w:basedOn w:val="Fuentedeprrafopredeter"/>
    <w:uiPriority w:val="99"/>
    <w:unhideWhenUsed/>
    <w:rsid w:val="441EBDBB"/>
    <w:rPr>
      <w:color w:val="467886"/>
      <w:u w:val="single"/>
    </w:rPr>
  </w:style>
  <w:style w:type="paragraph" w:styleId="TDC4">
    <w:name w:val="toc 4"/>
    <w:basedOn w:val="Normal"/>
    <w:next w:val="Normal"/>
    <w:uiPriority w:val="39"/>
    <w:unhideWhenUsed/>
    <w:rsid w:val="441EBDBB"/>
    <w:pPr>
      <w:spacing w:after="100"/>
      <w:ind w:left="660"/>
    </w:pPr>
  </w:style>
  <w:style w:type="paragraph" w:styleId="TtuloTDC">
    <w:name w:val="TOC Heading"/>
    <w:basedOn w:val="Ttulo1"/>
    <w:next w:val="Normal"/>
    <w:uiPriority w:val="39"/>
    <w:unhideWhenUsed/>
    <w:qFormat/>
    <w:rsid w:val="00546101"/>
    <w:pPr>
      <w:spacing w:before="240" w:after="0" w:line="259" w:lineRule="auto"/>
      <w:jc w:val="left"/>
      <w:outlineLvl w:val="9"/>
    </w:pPr>
    <w:rPr>
      <w:sz w:val="32"/>
      <w:szCs w:val="32"/>
      <w:lang w:eastAsia="en-GB"/>
    </w:rPr>
  </w:style>
  <w:style w:type="paragraph" w:styleId="TDC1">
    <w:name w:val="toc 1"/>
    <w:basedOn w:val="Normal"/>
    <w:next w:val="Normal"/>
    <w:autoRedefine/>
    <w:uiPriority w:val="39"/>
    <w:semiHidden/>
    <w:unhideWhenUsed/>
    <w:rsid w:val="000878FD"/>
    <w:pPr>
      <w:spacing w:after="100"/>
    </w:pPr>
  </w:style>
  <w:style w:type="paragraph" w:styleId="Tabladeilustraciones">
    <w:name w:val="table of figures"/>
    <w:basedOn w:val="Normal"/>
    <w:next w:val="Normal"/>
    <w:uiPriority w:val="99"/>
    <w:semiHidden/>
    <w:unhideWhenUsed/>
    <w:rsid w:val="000878FD"/>
    <w:pPr>
      <w:spacing w:after="0"/>
    </w:pPr>
  </w:style>
  <w:style w:type="paragraph" w:customStyle="1" w:styleId="CommentSubject">
    <w:name w:val="Comment Subject"/>
    <w:basedOn w:val="CommentText"/>
    <w:next w:val="CommentText"/>
    <w:link w:val="CommentSubjectChar"/>
    <w:uiPriority w:val="99"/>
    <w:semiHidden/>
    <w:unhideWhenUsed/>
    <w:rsid w:val="000878FD"/>
    <w:rPr>
      <w:b/>
      <w:bCs/>
    </w:rPr>
  </w:style>
  <w:style w:type="character" w:customStyle="1" w:styleId="CommentSubjectChar">
    <w:name w:val="Comment Subject Char"/>
    <w:basedOn w:val="CommentTextChar"/>
    <w:link w:val="CommentSubject"/>
    <w:uiPriority w:val="99"/>
    <w:semiHidden/>
    <w:rsid w:val="000878FD"/>
    <w:rPr>
      <w:rFonts w:ascii="Calibri" w:hAnsi="Calibri"/>
      <w:b/>
      <w:bCs/>
      <w:sz w:val="20"/>
      <w:szCs w:val="20"/>
    </w:rPr>
  </w:style>
  <w:style w:type="paragraph" w:styleId="Descripcin">
    <w:name w:val="caption"/>
    <w:basedOn w:val="Normal"/>
    <w:next w:val="Normal"/>
    <w:uiPriority w:val="35"/>
    <w:unhideWhenUsed/>
    <w:qFormat/>
    <w:rsid w:val="001364E4"/>
    <w:pPr>
      <w:spacing w:after="200" w:line="240" w:lineRule="auto"/>
    </w:pPr>
    <w:rPr>
      <w:i/>
      <w:iCs/>
      <w:color w:val="0E2841" w:themeColor="text2"/>
      <w:sz w:val="18"/>
      <w:szCs w:val="18"/>
    </w:rPr>
  </w:style>
  <w:style w:type="character" w:customStyle="1" w:styleId="PiedepginaCar">
    <w:name w:val="Pie de página Car"/>
    <w:basedOn w:val="Fuentedeprrafopredeter"/>
    <w:link w:val="Piedepgina"/>
    <w:uiPriority w:val="99"/>
    <w:rsid w:val="001364E4"/>
    <w:rPr>
      <w:rFonts w:ascii="Calibri" w:hAnsi="Calibri"/>
      <w:lang w:val="en-GB"/>
    </w:rPr>
  </w:style>
  <w:style w:type="paragraph" w:customStyle="1" w:styleId="Ttulo10">
    <w:name w:val="Título1"/>
    <w:basedOn w:val="Normal"/>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ranslatedLang xmlns="55fa6559-6548-493a-bddc-9eba090e1cd4" xsi:nil="true"/>
    <lcf76f155ced4ddcb4097134ff3c332f xmlns="55fa6559-6548-493a-bddc-9eba090e1cd4">
      <Terms xmlns="http://schemas.microsoft.com/office/infopath/2007/PartnerControls"/>
    </lcf76f155ced4ddcb4097134ff3c332f>
    <TaxCatchAll xmlns="e07ec2dc-b44d-4cb9-bd12-5a2a513b4fbd" xsi:nil="true"/>
    <Notes_x002f_Comments xmlns="55fa6559-6548-493a-bddc-9eba090e1cd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95E66836DC97340ABDAAF1455FC752E" ma:contentTypeVersion="18" ma:contentTypeDescription="Create a new document." ma:contentTypeScope="" ma:versionID="10ea6731051b7bc32a652ff7d9fd149d">
  <xsd:schema xmlns:xsd="http://www.w3.org/2001/XMLSchema" xmlns:xs="http://www.w3.org/2001/XMLSchema" xmlns:p="http://schemas.microsoft.com/office/2006/metadata/properties" xmlns:ns2="55fa6559-6548-493a-bddc-9eba090e1cd4" xmlns:ns3="e07ec2dc-b44d-4cb9-bd12-5a2a513b4fbd" targetNamespace="http://schemas.microsoft.com/office/2006/metadata/properties" ma:root="true" ma:fieldsID="094bcc526e6a4992a9a84b953f5a8ec0" ns2:_="" ns3:_="">
    <xsd:import namespace="55fa6559-6548-493a-bddc-9eba090e1cd4"/>
    <xsd:import namespace="e07ec2dc-b44d-4cb9-bd12-5a2a513b4fb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LengthInSeconds" minOccurs="0"/>
                <xsd:element ref="ns2:MediaServiceSearchProperties" minOccurs="0"/>
                <xsd:element ref="ns2:TranslatedLang" minOccurs="0"/>
                <xsd:element ref="ns2:MediaServiceBillingMetadata" minOccurs="0"/>
                <xsd:element ref="ns2:Notes_x002f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fa6559-6548-493a-bddc-9eba090e1c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77b169b-7464-4c14-89c9-ab876efcba04"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ranslatedLang" ma:index="23" nillable="true" ma:displayName="Translated Language" ma:internalName="TranslatedLang">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Notes_x002f_Comments" ma:index="25" nillable="true" ma:displayName="Notes/Comments" ma:format="Dropdown" ma:internalName="Notes_x002f_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7ec2dc-b44d-4cb9-bd12-5a2a513b4f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2596f74-d849-4044-ad04-517e07ee4e8a}" ma:internalName="TaxCatchAll" ma:showField="CatchAllData" ma:web="e07ec2dc-b44d-4cb9-bd12-5a2a513b4fb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2F8640-4578-43E0-B025-AE4F85A6B19F}">
  <ds:schemaRefs>
    <ds:schemaRef ds:uri="http://schemas.openxmlformats.org/officeDocument/2006/bibliography"/>
  </ds:schemaRefs>
</ds:datastoreItem>
</file>

<file path=customXml/itemProps2.xml><?xml version="1.0" encoding="utf-8"?>
<ds:datastoreItem xmlns:ds="http://schemas.openxmlformats.org/officeDocument/2006/customXml" ds:itemID="{AFDFD593-933C-43BE-98F5-5C5B7E88BDC6}">
  <ds:schemaRefs>
    <ds:schemaRef ds:uri="http://schemas.microsoft.com/office/2006/metadata/properties"/>
    <ds:schemaRef ds:uri="http://schemas.microsoft.com/office/infopath/2007/PartnerControls"/>
    <ds:schemaRef ds:uri="55fa6559-6548-493a-bddc-9eba090e1cd4"/>
    <ds:schemaRef ds:uri="e07ec2dc-b44d-4cb9-bd12-5a2a513b4fbd"/>
  </ds:schemaRefs>
</ds:datastoreItem>
</file>

<file path=customXml/itemProps3.xml><?xml version="1.0" encoding="utf-8"?>
<ds:datastoreItem xmlns:ds="http://schemas.openxmlformats.org/officeDocument/2006/customXml" ds:itemID="{58FDF39A-306E-423E-A34B-2015B5072F5C}">
  <ds:schemaRefs>
    <ds:schemaRef ds:uri="http://schemas.microsoft.com/sharepoint/v3/contenttype/forms"/>
  </ds:schemaRefs>
</ds:datastoreItem>
</file>

<file path=customXml/itemProps4.xml><?xml version="1.0" encoding="utf-8"?>
<ds:datastoreItem xmlns:ds="http://schemas.openxmlformats.org/officeDocument/2006/customXml" ds:itemID="{7B014B28-67A9-4A43-86E3-256BD0560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fa6559-6548-493a-bddc-9eba090e1cd4"/>
    <ds:schemaRef ds:uri="e07ec2dc-b44d-4cb9-bd12-5a2a513b4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4544</Words>
  <Characters>24998</Characters>
  <Application>Microsoft Office Word</Application>
  <DocSecurity>0</DocSecurity>
  <Lines>208</Lines>
  <Paragraphs>58</Paragraphs>
  <ScaleCrop>false</ScaleCrop>
  <Company/>
  <LinksUpToDate>false</LinksUpToDate>
  <CharactersWithSpaces>29484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ANFORA RURACTIVE Monitoring Integration Technical Feasibility</dc:title>
  <dc:subject>Agreed Hybrid method and proposed technical design; Rev3 retained unchanged</dc:subject>
  <dc:creator>Evenor-Tech S.L.U.</dc:creator>
  <cp:keywords/>
  <dc:description/>
  <cp:lastModifiedBy>Jesús Vázquez</cp:lastModifiedBy>
  <cp:revision>21</cp:revision>
  <dcterms:created xsi:type="dcterms:W3CDTF">2025-11-04T15:22:00Z</dcterms:created>
  <dcterms:modified xsi:type="dcterms:W3CDTF">2026-10-21T09:09:00Z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0x010100F95E66836DC97340ABDAAF1455FC752E</vt:lpwstr>
  </property>
  <property fmtid="{D5CDD505-2E9C-101B-9397-08002B2CF9AE}" pid="3" name="MediaServiceImageTags">
    <vt:lpwstr/>
  </property>
  <property fmtid="{D5CDD505-2E9C-101B-9397-08002B2CF9AE}" pid="4" name="GrammarlyDocumentId">
    <vt:lpwstr>3f5d08ba-2dcd-464b-a3fa-687b959c068e</vt:lpwstr>
  </property>
</Properties>
</file>