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0918A" w14:textId="77777777" w:rsidR="0061542B" w:rsidRDefault="00447B7B" w:rsidP="441EBDBB">
      <w:pPr>
        <w:jc w:val="center"/>
      </w:pPr>
      <w:r>
        <w:rPr>
          <w:noProof/>
        </w:rPr>
        <w:drawing>
          <wp:anchor distT="0" distB="0" distL="114300" distR="114300" simplePos="0" relativeHeight="251659264" behindDoc="0" locked="0" layoutInCell="1" allowOverlap="1" wp14:anchorId="6A1358D8" wp14:editId="03445613">
            <wp:simplePos x="0" y="0"/>
            <wp:positionH relativeFrom="page">
              <wp:posOffset>914400</wp:posOffset>
            </wp:positionH>
            <wp:positionV relativeFrom="page">
              <wp:posOffset>9499600</wp:posOffset>
            </wp:positionV>
            <wp:extent cx="1841500" cy="558800"/>
            <wp:effectExtent l="0" t="0" r="6350" b="0"/>
            <wp:wrapNone/>
            <wp:docPr id="2" name="Imagen 2" descr="Co-funded by the European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o-funded by the European Union"/>
                    <pic:cNvPicPr/>
                  </pic:nvPicPr>
                  <pic:blipFill>
                    <a:blip r:embed="rId11">
                      <a:extLst>
                        <a:ext uri="{28A0092B-C50C-407E-A947-70E740481C1C}">
                          <a14:useLocalDpi xmlns:a14="http://schemas.microsoft.com/office/drawing/2010/main" val="0"/>
                        </a:ext>
                      </a:extLst>
                    </a:blip>
                    <a:stretch>
                      <a:fillRect/>
                    </a:stretch>
                  </pic:blipFill>
                  <pic:spPr>
                    <a:xfrm>
                      <a:off x="0" y="0"/>
                      <a:ext cx="1841500" cy="558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FA6D730" wp14:editId="6E9A46CC">
            <wp:simplePos x="0" y="0"/>
            <wp:positionH relativeFrom="page">
              <wp:posOffset>6223000</wp:posOffset>
            </wp:positionH>
            <wp:positionV relativeFrom="page">
              <wp:posOffset>431800</wp:posOffset>
            </wp:positionV>
            <wp:extent cx="508000" cy="1143000"/>
            <wp:effectExtent l="0" t="0" r="6350" b="0"/>
            <wp:wrapNone/>
            <wp:docPr id="1" name="Imagen 1" descr="ANFORA solu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FORA solution logo"/>
                    <pic:cNvPicPr/>
                  </pic:nvPicPr>
                  <pic:blipFill>
                    <a:blip r:embed="rId12">
                      <a:extLst>
                        <a:ext uri="{28A0092B-C50C-407E-A947-70E740481C1C}">
                          <a14:useLocalDpi xmlns:a14="http://schemas.microsoft.com/office/drawing/2010/main" val="0"/>
                        </a:ext>
                      </a:extLst>
                    </a:blip>
                    <a:stretch>
                      <a:fillRect/>
                    </a:stretch>
                  </pic:blipFill>
                  <pic:spPr>
                    <a:xfrm>
                      <a:off x="0" y="0"/>
                      <a:ext cx="508000" cy="1143000"/>
                    </a:xfrm>
                    <a:prstGeom prst="rect">
                      <a:avLst/>
                    </a:prstGeom>
                  </pic:spPr>
                </pic:pic>
              </a:graphicData>
            </a:graphic>
            <wp14:sizeRelH relativeFrom="margin">
              <wp14:pctWidth>0</wp14:pctWidth>
            </wp14:sizeRelH>
            <wp14:sizeRelV relativeFrom="margin">
              <wp14:pctHeight>0</wp14:pctHeight>
            </wp14:sizeRelV>
          </wp:anchor>
        </w:drawing>
      </w:r>
      <w:r w:rsidR="5B4B32C2" w:rsidRPr="008773A4">
        <w:rPr>
          <w:noProof/>
        </w:rPr>
        <w:drawing>
          <wp:inline distT="0" distB="0" distL="0" distR="0" wp14:anchorId="2F9AE257" wp14:editId="63EA028A">
            <wp:extent cx="5724525" cy="3552825"/>
            <wp:effectExtent l="0" t="0" r="0" b="0"/>
            <wp:docPr id="1887814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4340"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3552825"/>
                    </a:xfrm>
                    <a:prstGeom prst="rect">
                      <a:avLst/>
                    </a:prstGeom>
                  </pic:spPr>
                </pic:pic>
              </a:graphicData>
            </a:graphic>
          </wp:inline>
        </w:drawing>
      </w:r>
    </w:p>
    <w:p w14:paraId="1B7C229E" w14:textId="77777777" w:rsidR="00546101" w:rsidRPr="008773A4" w:rsidRDefault="00546101" w:rsidP="441EBDBB">
      <w:pPr>
        <w:spacing w:line="276" w:lineRule="auto"/>
        <w:jc w:val="center"/>
        <w:rPr>
          <w:rFonts w:eastAsia="Calibri" w:cs="Calibri"/>
          <w:b/>
          <w:bCs/>
        </w:rPr>
      </w:pPr>
    </w:p>
    <w:p w14:paraId="0448C5D1" w14:textId="77777777" w:rsidR="00546101" w:rsidRPr="008773A4" w:rsidRDefault="00546101" w:rsidP="441EBDBB">
      <w:pPr>
        <w:spacing w:line="276" w:lineRule="auto"/>
        <w:jc w:val="center"/>
        <w:rPr>
          <w:rFonts w:eastAsia="Calibri" w:cs="Calibri"/>
          <w:b/>
          <w:bCs/>
        </w:rPr>
      </w:pPr>
    </w:p>
    <w:p w14:paraId="76D9A22A" w14:textId="77777777" w:rsidR="00546101" w:rsidRPr="008773A4" w:rsidRDefault="00546101" w:rsidP="441EBDBB">
      <w:pPr>
        <w:spacing w:line="276" w:lineRule="auto"/>
        <w:jc w:val="center"/>
        <w:rPr>
          <w:rFonts w:eastAsia="Calibri" w:cs="Calibri"/>
          <w:b/>
          <w:bCs/>
        </w:rPr>
      </w:pPr>
    </w:p>
    <w:p w14:paraId="162F0ACA" w14:textId="77777777" w:rsidR="707E544F" w:rsidRPr="0069239F" w:rsidRDefault="6E2E45BD" w:rsidP="3EDDA7DD">
      <w:pPr>
        <w:pStyle w:val="Ttulo10"/>
        <w:spacing w:line="276" w:lineRule="auto"/>
        <w:jc w:val="center"/>
        <w:rPr>
          <w:rFonts w:eastAsia="Calibri" w:cs="Calibri"/>
        </w:rPr>
      </w:pPr>
      <w:r w:rsidRPr="3EDDA7DD">
        <w:rPr>
          <w:rFonts w:eastAsia="Calibri" w:cs="Calibri"/>
          <w:bCs/>
        </w:rPr>
        <w:t>Innovator Indicators Review</w:t>
      </w:r>
    </w:p>
    <w:p w14:paraId="25BD9FA8" w14:textId="77777777" w:rsidR="707E544F" w:rsidRPr="008773A4" w:rsidRDefault="002B32FF" w:rsidP="441EBDBB">
      <w:pPr>
        <w:spacing w:line="276" w:lineRule="auto"/>
        <w:jc w:val="center"/>
        <w:rPr>
          <w:rFonts w:eastAsia="Calibri" w:cs="Calibri"/>
        </w:rPr>
      </w:pPr>
      <w:r>
        <w:rPr>
          <w:rFonts w:eastAsia="Calibri" w:cs="Calibri"/>
          <w:b/>
          <w:bCs/>
        </w:rPr>
        <w:t>ANFORA – Digital platform for water footprint analysis</w:t>
      </w:r>
    </w:p>
    <w:p w14:paraId="76A2B350" w14:textId="77777777" w:rsidR="25C05879" w:rsidRPr="008773A4" w:rsidRDefault="002B32FF" w:rsidP="441EBDBB">
      <w:pPr>
        <w:spacing w:line="276" w:lineRule="auto"/>
        <w:jc w:val="center"/>
        <w:rPr>
          <w:rFonts w:eastAsia="Calibri" w:cs="Calibri"/>
        </w:rPr>
      </w:pPr>
      <w:r>
        <w:rPr>
          <w:rFonts w:eastAsia="Calibri" w:cs="Calibri"/>
          <w:b/>
          <w:bCs/>
        </w:rPr>
        <w:t>Evenor-Tech S.L.U.</w:t>
      </w:r>
    </w:p>
    <w:p w14:paraId="5AC6089C" w14:textId="77777777" w:rsidR="707E544F" w:rsidRPr="008773A4" w:rsidRDefault="002B32FF" w:rsidP="441EBDBB">
      <w:pPr>
        <w:spacing w:line="276" w:lineRule="auto"/>
        <w:jc w:val="center"/>
        <w:rPr>
          <w:rFonts w:eastAsia="Calibri" w:cs="Calibri"/>
        </w:rPr>
      </w:pPr>
      <w:r>
        <w:rPr>
          <w:rFonts w:eastAsia="Calibri" w:cs="Calibri"/>
          <w:b/>
          <w:bCs/>
        </w:rPr>
        <w:t>D05 – Lucena, Spain</w:t>
      </w:r>
    </w:p>
    <w:p w14:paraId="7A452EF2" w14:textId="77777777" w:rsidR="707E544F" w:rsidRPr="008773A4" w:rsidRDefault="002B32FF" w:rsidP="3EDDA7DD">
      <w:pPr>
        <w:spacing w:line="276" w:lineRule="auto"/>
        <w:jc w:val="center"/>
      </w:pPr>
      <w:r>
        <w:rPr>
          <w:rFonts w:eastAsia="Calibri" w:cs="Calibri"/>
          <w:b/>
          <w:bCs/>
        </w:rPr>
        <w:t>Monitoring period: 1 March–31 August 2026</w:t>
      </w:r>
    </w:p>
    <w:p w14:paraId="4B26F7CB" w14:textId="77777777" w:rsidR="5E53C1B0" w:rsidRDefault="5E53C1B0" w:rsidP="6100511F">
      <w:pPr>
        <w:spacing w:line="276" w:lineRule="auto"/>
        <w:jc w:val="center"/>
        <w:rPr>
          <w:rFonts w:cs="Calibri"/>
          <w:b/>
          <w:bCs/>
          <w:sz w:val="28"/>
          <w:szCs w:val="28"/>
        </w:rPr>
      </w:pPr>
      <w:r w:rsidRPr="6100511F">
        <w:rPr>
          <w:rFonts w:eastAsia="Calibri" w:cs="Calibri"/>
          <w:b/>
          <w:bCs/>
        </w:rPr>
        <w:t>Second review: 20 October 2026    Internal draft</w:t>
      </w:r>
    </w:p>
    <w:p w14:paraId="30FD0695" w14:textId="77777777" w:rsidR="6100511F" w:rsidRDefault="6100511F" w:rsidP="6100511F">
      <w:pPr>
        <w:spacing w:line="276" w:lineRule="auto"/>
        <w:jc w:val="center"/>
        <w:rPr>
          <w:rFonts w:eastAsia="Calibri" w:cs="Calibri"/>
        </w:rPr>
      </w:pPr>
    </w:p>
    <w:p w14:paraId="75F241D1" w14:textId="77777777" w:rsidR="6100511F" w:rsidRDefault="6100511F" w:rsidP="6100511F">
      <w:pPr>
        <w:spacing w:line="276" w:lineRule="auto"/>
        <w:jc w:val="center"/>
        <w:rPr>
          <w:rFonts w:eastAsia="Calibri" w:cs="Calibri"/>
        </w:rPr>
      </w:pPr>
    </w:p>
    <w:p w14:paraId="69D3D7E6" w14:textId="77777777" w:rsidR="6100511F" w:rsidRDefault="6100511F" w:rsidP="6100511F">
      <w:pPr>
        <w:spacing w:line="276" w:lineRule="auto"/>
        <w:jc w:val="center"/>
        <w:rPr>
          <w:rFonts w:eastAsia="Calibri" w:cs="Calibri"/>
        </w:rPr>
      </w:pPr>
    </w:p>
    <w:p w14:paraId="7F0E7ED3" w14:textId="77777777" w:rsidR="002038FF" w:rsidRDefault="002038FF" w:rsidP="6100511F">
      <w:pPr>
        <w:spacing w:line="276" w:lineRule="auto"/>
        <w:jc w:val="left"/>
        <w:rPr>
          <w:rFonts w:eastAsia="Calibri" w:cs="Calibri"/>
        </w:rPr>
      </w:pPr>
    </w:p>
    <w:p w14:paraId="6A24508C" w14:textId="77777777" w:rsidR="422CDCB3" w:rsidRDefault="422CDCB3" w:rsidP="61CE887F">
      <w:pPr>
        <w:spacing w:line="276" w:lineRule="auto"/>
        <w:jc w:val="left"/>
        <w:rPr>
          <w:rFonts w:eastAsia="Calibri" w:cs="Calibri"/>
        </w:rPr>
      </w:pPr>
    </w:p>
    <w:p w14:paraId="0E32FA48" w14:textId="77777777" w:rsidR="002038FF" w:rsidRDefault="002038FF" w:rsidP="6100511F">
      <w:pPr>
        <w:spacing w:line="276" w:lineRule="auto"/>
        <w:jc w:val="left"/>
        <w:rPr>
          <w:rFonts w:eastAsia="Calibri" w:cs="Calibri"/>
        </w:rPr>
        <w:sectPr w:rsidR="002038FF" w:rsidSect="00001B40">
          <w:headerReference w:type="default" r:id="rId14"/>
          <w:footerReference w:type="default" r:id="rId15"/>
          <w:headerReference w:type="first" r:id="rId16"/>
          <w:footerReference w:type="first" r:id="rId17"/>
          <w:pgSz w:w="11906" w:h="16838"/>
          <w:pgMar w:top="1440" w:right="1797" w:bottom="1440" w:left="1797" w:header="720" w:footer="720" w:gutter="0"/>
          <w:pgBorders w:offsetFrom="page">
            <w:bottom w:val="single" w:sz="8" w:space="24" w:color="000000"/>
          </w:pgBorders>
          <w:pgNumType w:fmt="lowerRoman" w:start="1"/>
          <w:cols w:space="720"/>
          <w:titlePg/>
          <w:docGrid w:linePitch="360"/>
        </w:sectPr>
      </w:pPr>
    </w:p>
    <w:p w14:paraId="54B85374" w14:textId="77777777" w:rsidR="00DB4CE1" w:rsidRDefault="00E03F66">
      <w:pPr>
        <w:spacing w:after="140" w:line="276" w:lineRule="auto"/>
        <w:jc w:val="left"/>
      </w:pPr>
      <w:r>
        <w:rPr>
          <w:b/>
          <w:color w:val="0F4761"/>
          <w:sz w:val="32"/>
        </w:rPr>
        <w:lastRenderedPageBreak/>
        <w:t>Contents</w:t>
      </w:r>
    </w:p>
    <w:p w14:paraId="78C59AE9" w14:textId="14D611AA" w:rsidR="00E03F66" w:rsidRDefault="00E03F66">
      <w:pPr>
        <w:pStyle w:val="TDC3"/>
        <w:tabs>
          <w:tab w:val="right" w:leader="dot" w:pos="8302"/>
        </w:tabs>
        <w:rPr>
          <w:rFonts w:asciiTheme="minorHAnsi" w:eastAsiaTheme="minorEastAsia" w:hAnsiTheme="minorHAnsi"/>
          <w:noProof/>
          <w:sz w:val="22"/>
          <w:szCs w:val="22"/>
          <w:lang w:val="es-ES" w:eastAsia="es-ES"/>
        </w:rPr>
      </w:pPr>
      <w:r>
        <w:fldChar w:fldCharType="begin"/>
      </w:r>
      <w:r>
        <w:instrText xml:space="preserve"> TOC \o "3-3" \h \z </w:instrText>
      </w:r>
      <w:r>
        <w:fldChar w:fldCharType="separate"/>
      </w:r>
      <w:hyperlink w:anchor="_Toc243394620" w:history="1">
        <w:r w:rsidRPr="007D025D">
          <w:rPr>
            <w:rStyle w:val="Hipervnculo"/>
            <w:noProof/>
          </w:rPr>
          <w:t>1 Decision and Corrections</w:t>
        </w:r>
        <w:r>
          <w:rPr>
            <w:noProof/>
            <w:webHidden/>
          </w:rPr>
          <w:tab/>
        </w:r>
        <w:r>
          <w:rPr>
            <w:noProof/>
            <w:webHidden/>
          </w:rPr>
          <w:fldChar w:fldCharType="begin"/>
        </w:r>
        <w:r>
          <w:rPr>
            <w:noProof/>
            <w:webHidden/>
          </w:rPr>
          <w:instrText xml:space="preserve"> PAGEREF _Toc243394620 \h </w:instrText>
        </w:r>
        <w:r>
          <w:rPr>
            <w:noProof/>
            <w:webHidden/>
          </w:rPr>
        </w:r>
        <w:r>
          <w:rPr>
            <w:noProof/>
            <w:webHidden/>
          </w:rPr>
          <w:fldChar w:fldCharType="separate"/>
        </w:r>
        <w:r>
          <w:rPr>
            <w:noProof/>
            <w:webHidden/>
          </w:rPr>
          <w:t>1</w:t>
        </w:r>
        <w:r>
          <w:rPr>
            <w:noProof/>
            <w:webHidden/>
          </w:rPr>
          <w:fldChar w:fldCharType="end"/>
        </w:r>
      </w:hyperlink>
    </w:p>
    <w:p w14:paraId="4FD4CAB7" w14:textId="00F27BC2" w:rsidR="00E03F66" w:rsidRDefault="00E03F66">
      <w:pPr>
        <w:pStyle w:val="TDC3"/>
        <w:tabs>
          <w:tab w:val="right" w:leader="dot" w:pos="8302"/>
        </w:tabs>
        <w:rPr>
          <w:rFonts w:asciiTheme="minorHAnsi" w:eastAsiaTheme="minorEastAsia" w:hAnsiTheme="minorHAnsi"/>
          <w:noProof/>
          <w:sz w:val="22"/>
          <w:szCs w:val="22"/>
          <w:lang w:val="es-ES" w:eastAsia="es-ES"/>
        </w:rPr>
      </w:pPr>
      <w:hyperlink w:anchor="_Toc243394621" w:history="1">
        <w:r w:rsidRPr="007D025D">
          <w:rPr>
            <w:rStyle w:val="Hipervnculo"/>
            <w:noProof/>
          </w:rPr>
          <w:t>2 Requirements Verified in the Transcript</w:t>
        </w:r>
        <w:r>
          <w:rPr>
            <w:noProof/>
            <w:webHidden/>
          </w:rPr>
          <w:tab/>
        </w:r>
        <w:r>
          <w:rPr>
            <w:noProof/>
            <w:webHidden/>
          </w:rPr>
          <w:fldChar w:fldCharType="begin"/>
        </w:r>
        <w:r>
          <w:rPr>
            <w:noProof/>
            <w:webHidden/>
          </w:rPr>
          <w:instrText xml:space="preserve"> PAGEREF _Toc243394621 \h </w:instrText>
        </w:r>
        <w:r>
          <w:rPr>
            <w:noProof/>
            <w:webHidden/>
          </w:rPr>
        </w:r>
        <w:r>
          <w:rPr>
            <w:noProof/>
            <w:webHidden/>
          </w:rPr>
          <w:fldChar w:fldCharType="separate"/>
        </w:r>
        <w:r>
          <w:rPr>
            <w:noProof/>
            <w:webHidden/>
          </w:rPr>
          <w:t>2</w:t>
        </w:r>
        <w:r>
          <w:rPr>
            <w:noProof/>
            <w:webHidden/>
          </w:rPr>
          <w:fldChar w:fldCharType="end"/>
        </w:r>
      </w:hyperlink>
    </w:p>
    <w:p w14:paraId="3171A1E0" w14:textId="4790DADC" w:rsidR="00E03F66" w:rsidRDefault="00E03F66">
      <w:pPr>
        <w:pStyle w:val="TDC3"/>
        <w:tabs>
          <w:tab w:val="right" w:leader="dot" w:pos="8302"/>
        </w:tabs>
        <w:rPr>
          <w:rFonts w:asciiTheme="minorHAnsi" w:eastAsiaTheme="minorEastAsia" w:hAnsiTheme="minorHAnsi"/>
          <w:noProof/>
          <w:sz w:val="22"/>
          <w:szCs w:val="22"/>
          <w:lang w:val="es-ES" w:eastAsia="es-ES"/>
        </w:rPr>
      </w:pPr>
      <w:hyperlink w:anchor="_Toc243394622" w:history="1">
        <w:r w:rsidRPr="007D025D">
          <w:rPr>
            <w:rStyle w:val="Hipervnculo"/>
            <w:noProof/>
          </w:rPr>
          <w:t>3 Assessment of the Nine Official Indicators</w:t>
        </w:r>
        <w:r>
          <w:rPr>
            <w:noProof/>
            <w:webHidden/>
          </w:rPr>
          <w:tab/>
        </w:r>
        <w:r>
          <w:rPr>
            <w:noProof/>
            <w:webHidden/>
          </w:rPr>
          <w:fldChar w:fldCharType="begin"/>
        </w:r>
        <w:r>
          <w:rPr>
            <w:noProof/>
            <w:webHidden/>
          </w:rPr>
          <w:instrText xml:space="preserve"> PAGEREF _Toc243394622 \h </w:instrText>
        </w:r>
        <w:r>
          <w:rPr>
            <w:noProof/>
            <w:webHidden/>
          </w:rPr>
        </w:r>
        <w:r>
          <w:rPr>
            <w:noProof/>
            <w:webHidden/>
          </w:rPr>
          <w:fldChar w:fldCharType="separate"/>
        </w:r>
        <w:r>
          <w:rPr>
            <w:noProof/>
            <w:webHidden/>
          </w:rPr>
          <w:t>3</w:t>
        </w:r>
        <w:r>
          <w:rPr>
            <w:noProof/>
            <w:webHidden/>
          </w:rPr>
          <w:fldChar w:fldCharType="end"/>
        </w:r>
      </w:hyperlink>
    </w:p>
    <w:p w14:paraId="6F5BEE95" w14:textId="0A27FEC7" w:rsidR="00E03F66" w:rsidRDefault="00E03F66">
      <w:pPr>
        <w:pStyle w:val="TDC3"/>
        <w:tabs>
          <w:tab w:val="right" w:leader="dot" w:pos="8302"/>
        </w:tabs>
        <w:rPr>
          <w:rFonts w:asciiTheme="minorHAnsi" w:eastAsiaTheme="minorEastAsia" w:hAnsiTheme="minorHAnsi"/>
          <w:noProof/>
          <w:sz w:val="22"/>
          <w:szCs w:val="22"/>
          <w:lang w:val="es-ES" w:eastAsia="es-ES"/>
        </w:rPr>
      </w:pPr>
      <w:hyperlink w:anchor="_Toc243394623" w:history="1">
        <w:r w:rsidRPr="007D025D">
          <w:rPr>
            <w:rStyle w:val="Hipervnculo"/>
            <w:noProof/>
          </w:rPr>
          <w:t>4 Pending Figures and Recoverable Evidence</w:t>
        </w:r>
        <w:r>
          <w:rPr>
            <w:noProof/>
            <w:webHidden/>
          </w:rPr>
          <w:tab/>
        </w:r>
        <w:r>
          <w:rPr>
            <w:noProof/>
            <w:webHidden/>
          </w:rPr>
          <w:fldChar w:fldCharType="begin"/>
        </w:r>
        <w:r>
          <w:rPr>
            <w:noProof/>
            <w:webHidden/>
          </w:rPr>
          <w:instrText xml:space="preserve"> PAGEREF _Toc243394623 \h </w:instrText>
        </w:r>
        <w:r>
          <w:rPr>
            <w:noProof/>
            <w:webHidden/>
          </w:rPr>
        </w:r>
        <w:r>
          <w:rPr>
            <w:noProof/>
            <w:webHidden/>
          </w:rPr>
          <w:fldChar w:fldCharType="separate"/>
        </w:r>
        <w:r>
          <w:rPr>
            <w:noProof/>
            <w:webHidden/>
          </w:rPr>
          <w:t>7</w:t>
        </w:r>
        <w:r>
          <w:rPr>
            <w:noProof/>
            <w:webHidden/>
          </w:rPr>
          <w:fldChar w:fldCharType="end"/>
        </w:r>
      </w:hyperlink>
    </w:p>
    <w:p w14:paraId="34DCACA9" w14:textId="67DE4FE2" w:rsidR="00E03F66" w:rsidRDefault="00E03F66">
      <w:pPr>
        <w:pStyle w:val="TDC3"/>
        <w:tabs>
          <w:tab w:val="right" w:leader="dot" w:pos="8302"/>
        </w:tabs>
        <w:rPr>
          <w:rFonts w:asciiTheme="minorHAnsi" w:eastAsiaTheme="minorEastAsia" w:hAnsiTheme="minorHAnsi"/>
          <w:noProof/>
          <w:sz w:val="22"/>
          <w:szCs w:val="22"/>
          <w:lang w:val="es-ES" w:eastAsia="es-ES"/>
        </w:rPr>
      </w:pPr>
      <w:hyperlink w:anchor="_Toc243394624" w:history="1">
        <w:r w:rsidRPr="007D025D">
          <w:rPr>
            <w:rStyle w:val="Hipervnculo"/>
            <w:noProof/>
          </w:rPr>
          <w:t>5 Delivery Routes and auto_accept</w:t>
        </w:r>
        <w:r>
          <w:rPr>
            <w:noProof/>
            <w:webHidden/>
          </w:rPr>
          <w:tab/>
        </w:r>
        <w:r>
          <w:rPr>
            <w:noProof/>
            <w:webHidden/>
          </w:rPr>
          <w:fldChar w:fldCharType="begin"/>
        </w:r>
        <w:r>
          <w:rPr>
            <w:noProof/>
            <w:webHidden/>
          </w:rPr>
          <w:instrText xml:space="preserve"> PAGEREF _Toc243394624 \h </w:instrText>
        </w:r>
        <w:r>
          <w:rPr>
            <w:noProof/>
            <w:webHidden/>
          </w:rPr>
        </w:r>
        <w:r>
          <w:rPr>
            <w:noProof/>
            <w:webHidden/>
          </w:rPr>
          <w:fldChar w:fldCharType="separate"/>
        </w:r>
        <w:r>
          <w:rPr>
            <w:noProof/>
            <w:webHidden/>
          </w:rPr>
          <w:t>9</w:t>
        </w:r>
        <w:r>
          <w:rPr>
            <w:noProof/>
            <w:webHidden/>
          </w:rPr>
          <w:fldChar w:fldCharType="end"/>
        </w:r>
      </w:hyperlink>
    </w:p>
    <w:p w14:paraId="10D8A3D8" w14:textId="08D923C6" w:rsidR="00E03F66" w:rsidRDefault="00E03F66">
      <w:pPr>
        <w:pStyle w:val="TDC3"/>
        <w:tabs>
          <w:tab w:val="right" w:leader="dot" w:pos="8302"/>
        </w:tabs>
        <w:rPr>
          <w:rFonts w:asciiTheme="minorHAnsi" w:eastAsiaTheme="minorEastAsia" w:hAnsiTheme="minorHAnsi"/>
          <w:noProof/>
          <w:sz w:val="22"/>
          <w:szCs w:val="22"/>
          <w:lang w:val="es-ES" w:eastAsia="es-ES"/>
        </w:rPr>
      </w:pPr>
      <w:hyperlink w:anchor="_Toc243394625" w:history="1">
        <w:r w:rsidRPr="007D025D">
          <w:rPr>
            <w:rStyle w:val="Hipervnculo"/>
            <w:noProof/>
          </w:rPr>
          <w:t>6 Verified Context and Later Developments</w:t>
        </w:r>
        <w:r>
          <w:rPr>
            <w:noProof/>
            <w:webHidden/>
          </w:rPr>
          <w:tab/>
        </w:r>
        <w:r>
          <w:rPr>
            <w:noProof/>
            <w:webHidden/>
          </w:rPr>
          <w:fldChar w:fldCharType="begin"/>
        </w:r>
        <w:r>
          <w:rPr>
            <w:noProof/>
            <w:webHidden/>
          </w:rPr>
          <w:instrText xml:space="preserve"> PAGEREF _Toc243394625 \h </w:instrText>
        </w:r>
        <w:r>
          <w:rPr>
            <w:noProof/>
            <w:webHidden/>
          </w:rPr>
        </w:r>
        <w:r>
          <w:rPr>
            <w:noProof/>
            <w:webHidden/>
          </w:rPr>
          <w:fldChar w:fldCharType="separate"/>
        </w:r>
        <w:r>
          <w:rPr>
            <w:noProof/>
            <w:webHidden/>
          </w:rPr>
          <w:t>10</w:t>
        </w:r>
        <w:r>
          <w:rPr>
            <w:noProof/>
            <w:webHidden/>
          </w:rPr>
          <w:fldChar w:fldCharType="end"/>
        </w:r>
      </w:hyperlink>
    </w:p>
    <w:p w14:paraId="62123DC7" w14:textId="7C7420D5" w:rsidR="00E03F66" w:rsidRDefault="00E03F66">
      <w:pPr>
        <w:pStyle w:val="TDC3"/>
        <w:tabs>
          <w:tab w:val="right" w:leader="dot" w:pos="8302"/>
        </w:tabs>
        <w:rPr>
          <w:rFonts w:asciiTheme="minorHAnsi" w:eastAsiaTheme="minorEastAsia" w:hAnsiTheme="minorHAnsi"/>
          <w:noProof/>
          <w:sz w:val="22"/>
          <w:szCs w:val="22"/>
          <w:lang w:val="es-ES" w:eastAsia="es-ES"/>
        </w:rPr>
      </w:pPr>
      <w:hyperlink w:anchor="_Toc243394626" w:history="1">
        <w:r w:rsidRPr="007D025D">
          <w:rPr>
            <w:rStyle w:val="Hipervnculo"/>
            <w:noProof/>
          </w:rPr>
          <w:t>7 Responsibilities and Release Decision</w:t>
        </w:r>
        <w:r>
          <w:rPr>
            <w:noProof/>
            <w:webHidden/>
          </w:rPr>
          <w:tab/>
        </w:r>
        <w:r>
          <w:rPr>
            <w:noProof/>
            <w:webHidden/>
          </w:rPr>
          <w:fldChar w:fldCharType="begin"/>
        </w:r>
        <w:r>
          <w:rPr>
            <w:noProof/>
            <w:webHidden/>
          </w:rPr>
          <w:instrText xml:space="preserve"> PAGEREF _Toc243394626 \h </w:instrText>
        </w:r>
        <w:r>
          <w:rPr>
            <w:noProof/>
            <w:webHidden/>
          </w:rPr>
        </w:r>
        <w:r>
          <w:rPr>
            <w:noProof/>
            <w:webHidden/>
          </w:rPr>
          <w:fldChar w:fldCharType="separate"/>
        </w:r>
        <w:r>
          <w:rPr>
            <w:noProof/>
            <w:webHidden/>
          </w:rPr>
          <w:t>11</w:t>
        </w:r>
        <w:r>
          <w:rPr>
            <w:noProof/>
            <w:webHidden/>
          </w:rPr>
          <w:fldChar w:fldCharType="end"/>
        </w:r>
      </w:hyperlink>
    </w:p>
    <w:p w14:paraId="70D8F0DA" w14:textId="63B9A288" w:rsidR="00E03F66" w:rsidRDefault="00E03F66">
      <w:pPr>
        <w:pStyle w:val="TDC3"/>
        <w:tabs>
          <w:tab w:val="right" w:leader="dot" w:pos="8302"/>
        </w:tabs>
        <w:rPr>
          <w:rFonts w:asciiTheme="minorHAnsi" w:eastAsiaTheme="minorEastAsia" w:hAnsiTheme="minorHAnsi"/>
          <w:noProof/>
          <w:sz w:val="22"/>
          <w:szCs w:val="22"/>
          <w:lang w:val="es-ES" w:eastAsia="es-ES"/>
        </w:rPr>
      </w:pPr>
      <w:hyperlink w:anchor="_Toc243394627" w:history="1">
        <w:r w:rsidRPr="007D025D">
          <w:rPr>
            <w:rStyle w:val="Hipervnculo"/>
            <w:noProof/>
          </w:rPr>
          <w:t>8 Sources and Supporting Evidence</w:t>
        </w:r>
        <w:r>
          <w:rPr>
            <w:noProof/>
            <w:webHidden/>
          </w:rPr>
          <w:tab/>
        </w:r>
        <w:r>
          <w:rPr>
            <w:noProof/>
            <w:webHidden/>
          </w:rPr>
          <w:fldChar w:fldCharType="begin"/>
        </w:r>
        <w:r>
          <w:rPr>
            <w:noProof/>
            <w:webHidden/>
          </w:rPr>
          <w:instrText xml:space="preserve"> PAGEREF _Toc243394627 \h </w:instrText>
        </w:r>
        <w:r>
          <w:rPr>
            <w:noProof/>
            <w:webHidden/>
          </w:rPr>
        </w:r>
        <w:r>
          <w:rPr>
            <w:noProof/>
            <w:webHidden/>
          </w:rPr>
          <w:fldChar w:fldCharType="separate"/>
        </w:r>
        <w:r>
          <w:rPr>
            <w:noProof/>
            <w:webHidden/>
          </w:rPr>
          <w:t>12</w:t>
        </w:r>
        <w:r>
          <w:rPr>
            <w:noProof/>
            <w:webHidden/>
          </w:rPr>
          <w:fldChar w:fldCharType="end"/>
        </w:r>
      </w:hyperlink>
    </w:p>
    <w:p w14:paraId="3E6664EE" w14:textId="4D9CDB2C" w:rsidR="00DB4CE1" w:rsidRDefault="00E03F66">
      <w:r>
        <w:fldChar w:fldCharType="end"/>
      </w:r>
    </w:p>
    <w:p w14:paraId="793AC57D" w14:textId="77777777" w:rsidR="00DB4CE1" w:rsidRDefault="00E03F66">
      <w:pPr>
        <w:spacing w:after="140" w:line="276" w:lineRule="auto"/>
      </w:pPr>
      <w:r>
        <w:t>Monitoring period: 1 March–31 August 2026. Second review: 20 October 2026.</w:t>
      </w:r>
    </w:p>
    <w:p w14:paraId="5EB7541B" w14:textId="77777777" w:rsidR="00DB4CE1" w:rsidRDefault="00E03F66">
      <w:pPr>
        <w:spacing w:after="140" w:line="276" w:lineRule="auto"/>
      </w:pPr>
      <w:r>
        <w:t xml:space="preserve">Internal draft. No official numerical indicator result is currently </w:t>
      </w:r>
      <w:r>
        <w:t>validated. Per-indicator delivery routes remain unagreed.</w:t>
      </w:r>
    </w:p>
    <w:p w14:paraId="3A2267DA" w14:textId="77777777" w:rsidR="00DB4CE1" w:rsidRDefault="00DB4CE1">
      <w:pPr>
        <w:sectPr w:rsidR="00DB4CE1" w:rsidSect="002038FF">
          <w:headerReference w:type="default" r:id="rId18"/>
          <w:footerReference w:type="default" r:id="rId19"/>
          <w:headerReference w:type="first" r:id="rId20"/>
          <w:footerReference w:type="first" r:id="rId21"/>
          <w:pgSz w:w="11906" w:h="16838"/>
          <w:pgMar w:top="1440" w:right="1797" w:bottom="1440" w:left="1797" w:header="720" w:footer="720" w:gutter="0"/>
          <w:pgBorders w:offsetFrom="page">
            <w:bottom w:val="single" w:sz="8" w:space="24" w:color="000000"/>
          </w:pgBorders>
          <w:pgNumType w:fmt="lowerRoman" w:start="1"/>
          <w:cols w:space="720"/>
          <w:docGrid w:linePitch="360"/>
        </w:sectPr>
      </w:pPr>
    </w:p>
    <w:p w14:paraId="54F6DA14" w14:textId="77777777" w:rsidR="00DB4CE1" w:rsidRDefault="00E03F66">
      <w:pPr>
        <w:pStyle w:val="Ttulo3"/>
        <w:spacing w:before="0" w:after="160"/>
      </w:pPr>
      <w:bookmarkStart w:id="0" w:name="_Toc243394620"/>
      <w:r>
        <w:lastRenderedPageBreak/>
        <w:t>1 Decision and Corrections</w:t>
      </w:r>
      <w:bookmarkEnd w:id="0"/>
    </w:p>
    <w:p w14:paraId="1D1920D6" w14:textId="77777777" w:rsidR="00DB4CE1" w:rsidRDefault="00E03F66">
      <w:pPr>
        <w:spacing w:after="140" w:line="276" w:lineRule="auto"/>
      </w:pPr>
      <w:r>
        <w:t xml:space="preserve">The package remains an internal draft and is not ready to be sent as a </w:t>
      </w:r>
      <w:r>
        <w:t>completed response to Lasith’s request for real indicator values. None of the nine official indicators currently has a numerical result that can be validated in its required unit and reporting scope. The new transcript confirms what Lasith requested; it do</w:t>
      </w:r>
      <w:r>
        <w:t>es not supply the missing measurements. The original files and all six first-review deliverables are preserved. [E01, E04, E11–E15]</w:t>
      </w:r>
    </w:p>
    <w:p w14:paraId="680D76F9" w14:textId="77777777" w:rsidR="00DB4CE1" w:rsidRDefault="00E03F66">
      <w:pPr>
        <w:spacing w:after="140" w:line="276" w:lineRule="auto"/>
      </w:pPr>
      <w:r>
        <w:t xml:space="preserve">This second review corrects three material issues. First, the original meeting transcript is now verified and E15 has </w:t>
      </w:r>
      <w:r>
        <w:t>been updated. Second, the blanket DMS assignment and nine TRUE values have been withdrawn. No per-code route was agreed in the transcript, so auto_accept is blank for every row. Third, INNOV_003 is now Not verified at official indicator level. Its previous</w:t>
      </w:r>
      <w:r>
        <w:t>ly stated partial verification applied only to auxiliary database records, not the required users or sessions. [E01, E11, E15]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5820"/>
      </w:tblGrid>
      <w:tr w:rsidR="00DB4CE1" w14:paraId="705235BF" w14:textId="77777777">
        <w:trPr>
          <w:cantSplit/>
          <w:tblHeader/>
          <w:jc w:val="center"/>
        </w:trPr>
        <w:tc>
          <w:tcPr>
            <w:tcW w:w="2520" w:type="dxa"/>
            <w:shd w:val="clear" w:color="auto" w:fill="156082"/>
            <w:tcMar>
              <w:top w:w="85" w:type="dxa"/>
              <w:left w:w="100" w:type="dxa"/>
              <w:bottom w:w="85" w:type="dxa"/>
              <w:right w:w="100" w:type="dxa"/>
            </w:tcMar>
            <w:vAlign w:val="center"/>
          </w:tcPr>
          <w:p w14:paraId="679A285D" w14:textId="77777777" w:rsidR="00DB4CE1" w:rsidRDefault="00E03F66">
            <w:pPr>
              <w:spacing w:after="0" w:line="240" w:lineRule="auto"/>
              <w:jc w:val="left"/>
            </w:pPr>
            <w:r>
              <w:rPr>
                <w:b/>
                <w:color w:val="FFFFFF"/>
                <w:sz w:val="21"/>
              </w:rPr>
              <w:t>Deliverable field</w:t>
            </w:r>
          </w:p>
        </w:tc>
        <w:tc>
          <w:tcPr>
            <w:tcW w:w="5820" w:type="dxa"/>
            <w:shd w:val="clear" w:color="auto" w:fill="156082"/>
            <w:tcMar>
              <w:top w:w="85" w:type="dxa"/>
              <w:left w:w="100" w:type="dxa"/>
              <w:bottom w:w="85" w:type="dxa"/>
              <w:right w:w="100" w:type="dxa"/>
            </w:tcMar>
            <w:vAlign w:val="center"/>
          </w:tcPr>
          <w:p w14:paraId="200B65EF" w14:textId="77777777" w:rsidR="00DB4CE1" w:rsidRDefault="00E03F66">
            <w:pPr>
              <w:spacing w:after="0" w:line="240" w:lineRule="auto"/>
              <w:jc w:val="left"/>
            </w:pPr>
            <w:r>
              <w:rPr>
                <w:b/>
                <w:color w:val="FFFFFF"/>
                <w:sz w:val="21"/>
              </w:rPr>
              <w:t>Corrected treatment</w:t>
            </w:r>
          </w:p>
        </w:tc>
      </w:tr>
      <w:tr w:rsidR="00DB4CE1" w14:paraId="5FAD4F52" w14:textId="77777777">
        <w:trPr>
          <w:cantSplit/>
          <w:jc w:val="center"/>
        </w:trPr>
        <w:tc>
          <w:tcPr>
            <w:tcW w:w="2520" w:type="dxa"/>
            <w:shd w:val="clear" w:color="auto" w:fill="FFFFFF"/>
            <w:tcMar>
              <w:top w:w="85" w:type="dxa"/>
              <w:left w:w="100" w:type="dxa"/>
              <w:bottom w:w="85" w:type="dxa"/>
              <w:right w:w="100" w:type="dxa"/>
            </w:tcMar>
            <w:vAlign w:val="center"/>
          </w:tcPr>
          <w:p w14:paraId="1CE4DBDF" w14:textId="77777777" w:rsidR="00DB4CE1" w:rsidRDefault="00E03F66">
            <w:pPr>
              <w:spacing w:after="0" w:line="240" w:lineRule="auto"/>
              <w:jc w:val="left"/>
            </w:pPr>
            <w:r>
              <w:rPr>
                <w:color w:val="000000"/>
                <w:sz w:val="21"/>
              </w:rPr>
              <w:t>DATA VALUE, nine rows</w:t>
            </w:r>
          </w:p>
        </w:tc>
        <w:tc>
          <w:tcPr>
            <w:tcW w:w="5820" w:type="dxa"/>
            <w:shd w:val="clear" w:color="auto" w:fill="FFFFFF"/>
            <w:tcMar>
              <w:top w:w="85" w:type="dxa"/>
              <w:left w:w="100" w:type="dxa"/>
              <w:bottom w:w="85" w:type="dxa"/>
              <w:right w:w="100" w:type="dxa"/>
            </w:tcMar>
            <w:vAlign w:val="center"/>
          </w:tcPr>
          <w:p w14:paraId="12D3BAAE" w14:textId="77777777" w:rsidR="00DB4CE1" w:rsidRDefault="00E03F66">
            <w:pPr>
              <w:spacing w:after="0" w:line="240" w:lineRule="auto"/>
              <w:jc w:val="left"/>
            </w:pPr>
            <w:r>
              <w:rPr>
                <w:color w:val="000000"/>
                <w:sz w:val="21"/>
              </w:rPr>
              <w:t xml:space="preserve">Blank because no official numerical value is </w:t>
            </w:r>
            <w:r>
              <w:rPr>
                <w:color w:val="000000"/>
                <w:sz w:val="21"/>
              </w:rPr>
              <w:t>substantiated. Comments retain the evidence state and exact missing inputs.</w:t>
            </w:r>
          </w:p>
        </w:tc>
      </w:tr>
      <w:tr w:rsidR="00DB4CE1" w14:paraId="5EA64DB1" w14:textId="77777777">
        <w:trPr>
          <w:cantSplit/>
          <w:jc w:val="center"/>
        </w:trPr>
        <w:tc>
          <w:tcPr>
            <w:tcW w:w="2520" w:type="dxa"/>
            <w:shd w:val="clear" w:color="auto" w:fill="F2F6F8"/>
            <w:tcMar>
              <w:top w:w="85" w:type="dxa"/>
              <w:left w:w="100" w:type="dxa"/>
              <w:bottom w:w="85" w:type="dxa"/>
              <w:right w:w="100" w:type="dxa"/>
            </w:tcMar>
            <w:vAlign w:val="center"/>
          </w:tcPr>
          <w:p w14:paraId="16C8D9C7" w14:textId="77777777" w:rsidR="00DB4CE1" w:rsidRDefault="00E03F66">
            <w:pPr>
              <w:spacing w:after="0" w:line="240" w:lineRule="auto"/>
              <w:jc w:val="left"/>
            </w:pPr>
            <w:r>
              <w:rPr>
                <w:color w:val="000000"/>
                <w:sz w:val="21"/>
              </w:rPr>
              <w:t>auto_accept, nine rows</w:t>
            </w:r>
          </w:p>
        </w:tc>
        <w:tc>
          <w:tcPr>
            <w:tcW w:w="5820" w:type="dxa"/>
            <w:shd w:val="clear" w:color="auto" w:fill="F2F6F8"/>
            <w:tcMar>
              <w:top w:w="85" w:type="dxa"/>
              <w:left w:w="100" w:type="dxa"/>
              <w:bottom w:w="85" w:type="dxa"/>
              <w:right w:w="100" w:type="dxa"/>
            </w:tcMar>
            <w:vAlign w:val="center"/>
          </w:tcPr>
          <w:p w14:paraId="32576ABB" w14:textId="77777777" w:rsidR="00DB4CE1" w:rsidRDefault="00E03F66">
            <w:pPr>
              <w:spacing w:after="0" w:line="240" w:lineRule="auto"/>
              <w:jc w:val="left"/>
            </w:pPr>
            <w:r>
              <w:rPr>
                <w:color w:val="000000"/>
                <w:sz w:val="21"/>
              </w:rPr>
              <w:t>Blank because the delivery mechanism is unassigned. Blank does not mean FALSE. TRUE applies only after a DMS route is selected.</w:t>
            </w:r>
          </w:p>
        </w:tc>
      </w:tr>
      <w:tr w:rsidR="00DB4CE1" w14:paraId="161DDE21" w14:textId="77777777">
        <w:trPr>
          <w:cantSplit/>
          <w:jc w:val="center"/>
        </w:trPr>
        <w:tc>
          <w:tcPr>
            <w:tcW w:w="2520" w:type="dxa"/>
            <w:shd w:val="clear" w:color="auto" w:fill="FFFFFF"/>
            <w:tcMar>
              <w:top w:w="85" w:type="dxa"/>
              <w:left w:w="100" w:type="dxa"/>
              <w:bottom w:w="85" w:type="dxa"/>
              <w:right w:w="100" w:type="dxa"/>
            </w:tcMar>
            <w:vAlign w:val="center"/>
          </w:tcPr>
          <w:p w14:paraId="2CFF5D43" w14:textId="77777777" w:rsidR="00DB4CE1" w:rsidRDefault="00E03F66">
            <w:pPr>
              <w:spacing w:after="0" w:line="240" w:lineRule="auto"/>
              <w:jc w:val="left"/>
            </w:pPr>
            <w:r>
              <w:rPr>
                <w:color w:val="000000"/>
                <w:sz w:val="21"/>
              </w:rPr>
              <w:t>INNOV_003 official result</w:t>
            </w:r>
          </w:p>
        </w:tc>
        <w:tc>
          <w:tcPr>
            <w:tcW w:w="5820" w:type="dxa"/>
            <w:shd w:val="clear" w:color="auto" w:fill="FFFFFF"/>
            <w:tcMar>
              <w:top w:w="85" w:type="dxa"/>
              <w:left w:w="100" w:type="dxa"/>
              <w:bottom w:w="85" w:type="dxa"/>
              <w:right w:w="100" w:type="dxa"/>
            </w:tcMar>
            <w:vAlign w:val="center"/>
          </w:tcPr>
          <w:p w14:paraId="5BA9A4A3" w14:textId="77777777" w:rsidR="00DB4CE1" w:rsidRDefault="00E03F66">
            <w:pPr>
              <w:spacing w:after="0" w:line="240" w:lineRule="auto"/>
              <w:jc w:val="left"/>
            </w:pPr>
            <w:r>
              <w:rPr>
                <w:color w:val="000000"/>
                <w:sz w:val="21"/>
              </w:rPr>
              <w:t>Not verified. Account creation and anonymous calculation records remain separate observations.</w:t>
            </w:r>
          </w:p>
        </w:tc>
      </w:tr>
      <w:tr w:rsidR="00DB4CE1" w14:paraId="53A84B30" w14:textId="77777777">
        <w:trPr>
          <w:cantSplit/>
          <w:jc w:val="center"/>
        </w:trPr>
        <w:tc>
          <w:tcPr>
            <w:tcW w:w="2520" w:type="dxa"/>
            <w:shd w:val="clear" w:color="auto" w:fill="F2F6F8"/>
            <w:tcMar>
              <w:top w:w="85" w:type="dxa"/>
              <w:left w:w="100" w:type="dxa"/>
              <w:bottom w:w="85" w:type="dxa"/>
              <w:right w:w="100" w:type="dxa"/>
            </w:tcMar>
            <w:vAlign w:val="center"/>
          </w:tcPr>
          <w:p w14:paraId="12DF5475" w14:textId="77777777" w:rsidR="00DB4CE1" w:rsidRDefault="00E03F66">
            <w:pPr>
              <w:spacing w:after="0" w:line="240" w:lineRule="auto"/>
              <w:jc w:val="left"/>
            </w:pPr>
            <w:r>
              <w:rPr>
                <w:color w:val="000000"/>
                <w:sz w:val="21"/>
              </w:rPr>
              <w:t>E15 evidence register</w:t>
            </w:r>
          </w:p>
        </w:tc>
        <w:tc>
          <w:tcPr>
            <w:tcW w:w="5820" w:type="dxa"/>
            <w:shd w:val="clear" w:color="auto" w:fill="F2F6F8"/>
            <w:tcMar>
              <w:top w:w="85" w:type="dxa"/>
              <w:left w:w="100" w:type="dxa"/>
              <w:bottom w:w="85" w:type="dxa"/>
              <w:right w:w="100" w:type="dxa"/>
            </w:tcMar>
            <w:vAlign w:val="center"/>
          </w:tcPr>
          <w:p w14:paraId="1CB7D663" w14:textId="77777777" w:rsidR="00DB4CE1" w:rsidRDefault="00E03F66">
            <w:pPr>
              <w:spacing w:after="0" w:line="240" w:lineRule="auto"/>
              <w:jc w:val="left"/>
            </w:pPr>
            <w:r>
              <w:rPr>
                <w:color w:val="000000"/>
                <w:sz w:val="21"/>
              </w:rPr>
              <w:t>Original transcript read in full, 12:31:54–12:47:18. Exact meeting date unstated.</w:t>
            </w:r>
          </w:p>
        </w:tc>
      </w:tr>
    </w:tbl>
    <w:p w14:paraId="7A594541" w14:textId="77777777" w:rsidR="00DB4CE1" w:rsidRDefault="00E03F66">
      <w:pPr>
        <w:pStyle w:val="Descripcin"/>
        <w:spacing w:before="80" w:after="160"/>
      </w:pPr>
      <w:r>
        <w:t xml:space="preserve">Table 1. Corrections to the first internal </w:t>
      </w:r>
      <w:r>
        <w:t>review.</w:t>
      </w:r>
    </w:p>
    <w:p w14:paraId="4DC2C021" w14:textId="77777777" w:rsidR="00DB4CE1" w:rsidRDefault="00E03F66">
      <w:pPr>
        <w:spacing w:after="140" w:line="276" w:lineRule="auto"/>
      </w:pPr>
      <w:r>
        <w:t>A blank numeric cell is an explicit absence of a validated value. Moving the status into COMMENTS makes the distinction clear, but does not fulfil Lasith’s request by itself. No unavailable measurement or alert has been replaced with zero, FALSE or</w:t>
      </w:r>
      <w:r>
        <w:t xml:space="preserve"> a proxy in a different unit.</w:t>
      </w:r>
    </w:p>
    <w:p w14:paraId="43519305" w14:textId="77777777" w:rsidR="00DB4CE1" w:rsidRDefault="00E03F66">
      <w:pPr>
        <w:pStyle w:val="Ttulo3"/>
        <w:pageBreakBefore/>
        <w:spacing w:before="0" w:after="160"/>
      </w:pPr>
      <w:bookmarkStart w:id="1" w:name="_Toc243394621"/>
      <w:r>
        <w:lastRenderedPageBreak/>
        <w:t>2 Requirements Verified in the Transcript</w:t>
      </w:r>
      <w:bookmarkEnd w:id="1"/>
    </w:p>
    <w:p w14:paraId="2B820946" w14:textId="77777777" w:rsidR="00DB4CE1" w:rsidRDefault="00E03F66">
      <w:pPr>
        <w:spacing w:after="140" w:line="276" w:lineRule="auto"/>
      </w:pPr>
      <w:r>
        <w:t>The original transcript was read from beginning to end. It contains clock times but no calendar date. The organiser identifies the meeting as an October follow-up; the exact day is not</w:t>
      </w:r>
      <w:r>
        <w:t xml:space="preserve"> established by the transcript or by the file’s creation or modification time. E15 now cites the primary text rather than treating it as a missing source. [E15]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0"/>
        <w:gridCol w:w="3520"/>
        <w:gridCol w:w="3000"/>
      </w:tblGrid>
      <w:tr w:rsidR="00DB4CE1" w14:paraId="16FB2F4B" w14:textId="77777777">
        <w:trPr>
          <w:cantSplit/>
          <w:tblHeader/>
          <w:jc w:val="center"/>
        </w:trPr>
        <w:tc>
          <w:tcPr>
            <w:tcW w:w="1820" w:type="dxa"/>
            <w:shd w:val="clear" w:color="auto" w:fill="156082"/>
            <w:tcMar>
              <w:top w:w="85" w:type="dxa"/>
              <w:left w:w="100" w:type="dxa"/>
              <w:bottom w:w="85" w:type="dxa"/>
              <w:right w:w="100" w:type="dxa"/>
            </w:tcMar>
            <w:vAlign w:val="center"/>
          </w:tcPr>
          <w:p w14:paraId="36AA8FD5" w14:textId="77777777" w:rsidR="00DB4CE1" w:rsidRDefault="00E03F66">
            <w:pPr>
              <w:spacing w:after="0" w:line="240" w:lineRule="auto"/>
              <w:jc w:val="left"/>
            </w:pPr>
            <w:r>
              <w:rPr>
                <w:b/>
                <w:color w:val="FFFFFF"/>
                <w:sz w:val="21"/>
              </w:rPr>
              <w:t>Transcript passage</w:t>
            </w:r>
          </w:p>
        </w:tc>
        <w:tc>
          <w:tcPr>
            <w:tcW w:w="3520" w:type="dxa"/>
            <w:shd w:val="clear" w:color="auto" w:fill="156082"/>
            <w:tcMar>
              <w:top w:w="85" w:type="dxa"/>
              <w:left w:w="100" w:type="dxa"/>
              <w:bottom w:w="85" w:type="dxa"/>
              <w:right w:w="100" w:type="dxa"/>
            </w:tcMar>
            <w:vAlign w:val="center"/>
          </w:tcPr>
          <w:p w14:paraId="485CAA35" w14:textId="77777777" w:rsidR="00DB4CE1" w:rsidRDefault="00E03F66">
            <w:pPr>
              <w:spacing w:after="0" w:line="240" w:lineRule="auto"/>
              <w:jc w:val="left"/>
            </w:pPr>
            <w:r>
              <w:rPr>
                <w:b/>
                <w:color w:val="FFFFFF"/>
                <w:sz w:val="21"/>
              </w:rPr>
              <w:t>Instruction or statement</w:t>
            </w:r>
          </w:p>
        </w:tc>
        <w:tc>
          <w:tcPr>
            <w:tcW w:w="3000" w:type="dxa"/>
            <w:shd w:val="clear" w:color="auto" w:fill="156082"/>
            <w:tcMar>
              <w:top w:w="85" w:type="dxa"/>
              <w:left w:w="100" w:type="dxa"/>
              <w:bottom w:w="85" w:type="dxa"/>
              <w:right w:w="100" w:type="dxa"/>
            </w:tcMar>
            <w:vAlign w:val="center"/>
          </w:tcPr>
          <w:p w14:paraId="25FA8634" w14:textId="77777777" w:rsidR="00DB4CE1" w:rsidRDefault="00E03F66">
            <w:pPr>
              <w:spacing w:after="0" w:line="240" w:lineRule="auto"/>
              <w:jc w:val="left"/>
            </w:pPr>
            <w:r>
              <w:rPr>
                <w:b/>
                <w:color w:val="FFFFFF"/>
                <w:sz w:val="21"/>
              </w:rPr>
              <w:t>Effect on the package</w:t>
            </w:r>
          </w:p>
        </w:tc>
      </w:tr>
      <w:tr w:rsidR="00DB4CE1" w14:paraId="7F7E28D4" w14:textId="77777777">
        <w:trPr>
          <w:cantSplit/>
          <w:jc w:val="center"/>
        </w:trPr>
        <w:tc>
          <w:tcPr>
            <w:tcW w:w="1820" w:type="dxa"/>
            <w:shd w:val="clear" w:color="auto" w:fill="FFFFFF"/>
            <w:tcMar>
              <w:top w:w="85" w:type="dxa"/>
              <w:left w:w="100" w:type="dxa"/>
              <w:bottom w:w="85" w:type="dxa"/>
              <w:right w:w="100" w:type="dxa"/>
            </w:tcMar>
            <w:vAlign w:val="center"/>
          </w:tcPr>
          <w:p w14:paraId="3D51FEC7" w14:textId="77777777" w:rsidR="00DB4CE1" w:rsidRDefault="00E03F66">
            <w:pPr>
              <w:spacing w:after="0" w:line="240" w:lineRule="auto"/>
              <w:jc w:val="left"/>
            </w:pPr>
            <w:r>
              <w:rPr>
                <w:color w:val="000000"/>
                <w:sz w:val="21"/>
              </w:rPr>
              <w:t>12:38:25–12:39:14</w:t>
            </w:r>
          </w:p>
        </w:tc>
        <w:tc>
          <w:tcPr>
            <w:tcW w:w="3520" w:type="dxa"/>
            <w:shd w:val="clear" w:color="auto" w:fill="FFFFFF"/>
            <w:tcMar>
              <w:top w:w="85" w:type="dxa"/>
              <w:left w:w="100" w:type="dxa"/>
              <w:bottom w:w="85" w:type="dxa"/>
              <w:right w:w="100" w:type="dxa"/>
            </w:tcMar>
            <w:vAlign w:val="center"/>
          </w:tcPr>
          <w:p w14:paraId="0DA7EA6B" w14:textId="77777777" w:rsidR="00DB4CE1" w:rsidRDefault="00E03F66">
            <w:pPr>
              <w:spacing w:after="0" w:line="240" w:lineRule="auto"/>
              <w:jc w:val="left"/>
            </w:pPr>
            <w:r>
              <w:rPr>
                <w:color w:val="000000"/>
                <w:sz w:val="21"/>
              </w:rPr>
              <w:t>Lasith ask</w:t>
            </w:r>
            <w:r>
              <w:rPr>
                <w:color w:val="000000"/>
                <w:sz w:val="21"/>
              </w:rPr>
              <w:t>s which fields will use API. Francisco says he must check the indicator intended for backend connection.</w:t>
            </w:r>
          </w:p>
        </w:tc>
        <w:tc>
          <w:tcPr>
            <w:tcW w:w="3000" w:type="dxa"/>
            <w:shd w:val="clear" w:color="auto" w:fill="FFFFFF"/>
            <w:tcMar>
              <w:top w:w="85" w:type="dxa"/>
              <w:left w:w="100" w:type="dxa"/>
              <w:bottom w:w="85" w:type="dxa"/>
              <w:right w:w="100" w:type="dxa"/>
            </w:tcMar>
            <w:vAlign w:val="center"/>
          </w:tcPr>
          <w:p w14:paraId="7DD8C157" w14:textId="77777777" w:rsidR="00DB4CE1" w:rsidRDefault="00E03F66">
            <w:pPr>
              <w:spacing w:after="0" w:line="240" w:lineRule="auto"/>
              <w:jc w:val="left"/>
            </w:pPr>
            <w:r>
              <w:rPr>
                <w:color w:val="000000"/>
                <w:sz w:val="21"/>
              </w:rPr>
              <w:t>No named code is assigned to API, AMT or DMS.</w:t>
            </w:r>
          </w:p>
        </w:tc>
      </w:tr>
      <w:tr w:rsidR="00DB4CE1" w14:paraId="492507F4" w14:textId="77777777">
        <w:trPr>
          <w:cantSplit/>
          <w:jc w:val="center"/>
        </w:trPr>
        <w:tc>
          <w:tcPr>
            <w:tcW w:w="1820" w:type="dxa"/>
            <w:shd w:val="clear" w:color="auto" w:fill="F2F6F8"/>
            <w:tcMar>
              <w:top w:w="85" w:type="dxa"/>
              <w:left w:w="100" w:type="dxa"/>
              <w:bottom w:w="85" w:type="dxa"/>
              <w:right w:w="100" w:type="dxa"/>
            </w:tcMar>
            <w:vAlign w:val="center"/>
          </w:tcPr>
          <w:p w14:paraId="25F14188" w14:textId="77777777" w:rsidR="00DB4CE1" w:rsidRDefault="00E03F66">
            <w:pPr>
              <w:spacing w:after="0" w:line="240" w:lineRule="auto"/>
              <w:jc w:val="left"/>
            </w:pPr>
            <w:r>
              <w:rPr>
                <w:color w:val="000000"/>
                <w:sz w:val="21"/>
              </w:rPr>
              <w:t>12:39:27–12:39:49</w:t>
            </w:r>
          </w:p>
        </w:tc>
        <w:tc>
          <w:tcPr>
            <w:tcW w:w="3520" w:type="dxa"/>
            <w:shd w:val="clear" w:color="auto" w:fill="F2F6F8"/>
            <w:tcMar>
              <w:top w:w="85" w:type="dxa"/>
              <w:left w:w="100" w:type="dxa"/>
              <w:bottom w:w="85" w:type="dxa"/>
              <w:right w:w="100" w:type="dxa"/>
            </w:tcMar>
            <w:vAlign w:val="center"/>
          </w:tcPr>
          <w:p w14:paraId="336BC344" w14:textId="77777777" w:rsidR="00DB4CE1" w:rsidRDefault="00E03F66">
            <w:pPr>
              <w:spacing w:after="0" w:line="240" w:lineRule="auto"/>
              <w:jc w:val="left"/>
            </w:pPr>
            <w:r>
              <w:rPr>
                <w:color w:val="000000"/>
                <w:sz w:val="21"/>
              </w:rPr>
              <w:t xml:space="preserve">“If you are sent through DMS, please put. True in the field, here. </w:t>
            </w:r>
            <w:r>
              <w:rPr>
                <w:color w:val="000000"/>
                <w:sz w:val="21"/>
              </w:rPr>
              <w:t>Auto-accept.”</w:t>
            </w:r>
          </w:p>
        </w:tc>
        <w:tc>
          <w:tcPr>
            <w:tcW w:w="3000" w:type="dxa"/>
            <w:shd w:val="clear" w:color="auto" w:fill="F2F6F8"/>
            <w:tcMar>
              <w:top w:w="85" w:type="dxa"/>
              <w:left w:w="100" w:type="dxa"/>
              <w:bottom w:w="85" w:type="dxa"/>
              <w:right w:w="100" w:type="dxa"/>
            </w:tcMar>
            <w:vAlign w:val="center"/>
          </w:tcPr>
          <w:p w14:paraId="482EDEC5" w14:textId="77777777" w:rsidR="00DB4CE1" w:rsidRDefault="00E03F66">
            <w:pPr>
              <w:spacing w:after="0" w:line="240" w:lineRule="auto"/>
              <w:jc w:val="left"/>
            </w:pPr>
            <w:r>
              <w:rPr>
                <w:color w:val="000000"/>
                <w:sz w:val="21"/>
              </w:rPr>
              <w:t>Conditional DMS rule confirmed. Blanket TRUE for all rows is unsupported.</w:t>
            </w:r>
          </w:p>
        </w:tc>
      </w:tr>
      <w:tr w:rsidR="00DB4CE1" w14:paraId="3F172B26" w14:textId="77777777">
        <w:trPr>
          <w:cantSplit/>
          <w:jc w:val="center"/>
        </w:trPr>
        <w:tc>
          <w:tcPr>
            <w:tcW w:w="1820" w:type="dxa"/>
            <w:shd w:val="clear" w:color="auto" w:fill="FFFFFF"/>
            <w:tcMar>
              <w:top w:w="85" w:type="dxa"/>
              <w:left w:w="100" w:type="dxa"/>
              <w:bottom w:w="85" w:type="dxa"/>
              <w:right w:w="100" w:type="dxa"/>
            </w:tcMar>
            <w:vAlign w:val="center"/>
          </w:tcPr>
          <w:p w14:paraId="2CAEF40F" w14:textId="77777777" w:rsidR="00DB4CE1" w:rsidRDefault="00E03F66">
            <w:pPr>
              <w:spacing w:after="0" w:line="240" w:lineRule="auto"/>
              <w:jc w:val="left"/>
            </w:pPr>
            <w:r>
              <w:rPr>
                <w:color w:val="000000"/>
                <w:sz w:val="21"/>
              </w:rPr>
              <w:t>12:40:02; 12:42:03–12:42:31</w:t>
            </w:r>
          </w:p>
        </w:tc>
        <w:tc>
          <w:tcPr>
            <w:tcW w:w="3520" w:type="dxa"/>
            <w:shd w:val="clear" w:color="auto" w:fill="FFFFFF"/>
            <w:tcMar>
              <w:top w:w="85" w:type="dxa"/>
              <w:left w:w="100" w:type="dxa"/>
              <w:bottom w:w="85" w:type="dxa"/>
              <w:right w:w="100" w:type="dxa"/>
            </w:tcMar>
            <w:vAlign w:val="center"/>
          </w:tcPr>
          <w:p w14:paraId="4ED5A3D0" w14:textId="77777777" w:rsidR="00DB4CE1" w:rsidRDefault="00E03F66">
            <w:pPr>
              <w:spacing w:after="0" w:line="240" w:lineRule="auto"/>
              <w:jc w:val="left"/>
            </w:pPr>
            <w:r>
              <w:rPr>
                <w:color w:val="000000"/>
                <w:sz w:val="21"/>
              </w:rPr>
              <w:t>Lasith asks for real values instead of unavailable or unverified labels.</w:t>
            </w:r>
          </w:p>
        </w:tc>
        <w:tc>
          <w:tcPr>
            <w:tcW w:w="3000" w:type="dxa"/>
            <w:shd w:val="clear" w:color="auto" w:fill="FFFFFF"/>
            <w:tcMar>
              <w:top w:w="85" w:type="dxa"/>
              <w:left w:w="100" w:type="dxa"/>
              <w:bottom w:w="85" w:type="dxa"/>
              <w:right w:w="100" w:type="dxa"/>
            </w:tcMar>
            <w:vAlign w:val="center"/>
          </w:tcPr>
          <w:p w14:paraId="74FA3D86" w14:textId="77777777" w:rsidR="00DB4CE1" w:rsidRDefault="00E03F66">
            <w:pPr>
              <w:spacing w:after="0" w:line="240" w:lineRule="auto"/>
              <w:jc w:val="left"/>
            </w:pPr>
            <w:r>
              <w:rPr>
                <w:color w:val="000000"/>
                <w:sz w:val="21"/>
              </w:rPr>
              <w:t xml:space="preserve">Investigate matching measurements; do not substitute </w:t>
            </w:r>
            <w:r>
              <w:rPr>
                <w:color w:val="000000"/>
                <w:sz w:val="21"/>
              </w:rPr>
              <w:t>activity counts or fill gaps with zero.</w:t>
            </w:r>
          </w:p>
        </w:tc>
      </w:tr>
      <w:tr w:rsidR="00DB4CE1" w14:paraId="63ADC03C" w14:textId="77777777">
        <w:trPr>
          <w:cantSplit/>
          <w:jc w:val="center"/>
        </w:trPr>
        <w:tc>
          <w:tcPr>
            <w:tcW w:w="1820" w:type="dxa"/>
            <w:shd w:val="clear" w:color="auto" w:fill="F2F6F8"/>
            <w:tcMar>
              <w:top w:w="85" w:type="dxa"/>
              <w:left w:w="100" w:type="dxa"/>
              <w:bottom w:w="85" w:type="dxa"/>
              <w:right w:w="100" w:type="dxa"/>
            </w:tcMar>
            <w:vAlign w:val="center"/>
          </w:tcPr>
          <w:p w14:paraId="76DF392D" w14:textId="77777777" w:rsidR="00DB4CE1" w:rsidRDefault="00E03F66">
            <w:pPr>
              <w:spacing w:after="0" w:line="240" w:lineRule="auto"/>
              <w:jc w:val="left"/>
            </w:pPr>
            <w:r>
              <w:rPr>
                <w:color w:val="000000"/>
                <w:sz w:val="21"/>
              </w:rPr>
              <w:t>12:40:17–12:41:10</w:t>
            </w:r>
          </w:p>
        </w:tc>
        <w:tc>
          <w:tcPr>
            <w:tcW w:w="3520" w:type="dxa"/>
            <w:shd w:val="clear" w:color="auto" w:fill="F2F6F8"/>
            <w:tcMar>
              <w:top w:w="85" w:type="dxa"/>
              <w:left w:w="100" w:type="dxa"/>
              <w:bottom w:w="85" w:type="dxa"/>
              <w:right w:w="100" w:type="dxa"/>
            </w:tcMar>
            <w:vAlign w:val="center"/>
          </w:tcPr>
          <w:p w14:paraId="6CA17486" w14:textId="77777777" w:rsidR="00DB4CE1" w:rsidRDefault="00E03F66">
            <w:pPr>
              <w:spacing w:after="0" w:line="240" w:lineRule="auto"/>
              <w:jc w:val="left"/>
            </w:pPr>
            <w:r>
              <w:rPr>
                <w:color w:val="000000"/>
                <w:sz w:val="21"/>
              </w:rPr>
              <w:t>Francisco says “48 trainers”. Lasith requires 1 March–31 August. Francisco promises to check and separate latest from previous training.</w:t>
            </w:r>
          </w:p>
        </w:tc>
        <w:tc>
          <w:tcPr>
            <w:tcW w:w="3000" w:type="dxa"/>
            <w:shd w:val="clear" w:color="auto" w:fill="F2F6F8"/>
            <w:tcMar>
              <w:top w:w="85" w:type="dxa"/>
              <w:left w:w="100" w:type="dxa"/>
              <w:bottom w:w="85" w:type="dxa"/>
              <w:right w:w="100" w:type="dxa"/>
            </w:tcMar>
            <w:vAlign w:val="center"/>
          </w:tcPr>
          <w:p w14:paraId="09001838" w14:textId="77777777" w:rsidR="00DB4CE1" w:rsidRDefault="00E03F66">
            <w:pPr>
              <w:spacing w:after="0" w:line="240" w:lineRule="auto"/>
              <w:jc w:val="left"/>
            </w:pPr>
            <w:r>
              <w:rPr>
                <w:color w:val="000000"/>
                <w:sz w:val="21"/>
              </w:rPr>
              <w:t xml:space="preserve">48 is a spoken current claim, not a verified </w:t>
            </w:r>
            <w:r>
              <w:rPr>
                <w:color w:val="000000"/>
                <w:sz w:val="21"/>
              </w:rPr>
              <w:t>in-period training total.</w:t>
            </w:r>
          </w:p>
        </w:tc>
      </w:tr>
      <w:tr w:rsidR="00DB4CE1" w14:paraId="20697A65" w14:textId="77777777">
        <w:trPr>
          <w:cantSplit/>
          <w:jc w:val="center"/>
        </w:trPr>
        <w:tc>
          <w:tcPr>
            <w:tcW w:w="1820" w:type="dxa"/>
            <w:shd w:val="clear" w:color="auto" w:fill="FFFFFF"/>
            <w:tcMar>
              <w:top w:w="85" w:type="dxa"/>
              <w:left w:w="100" w:type="dxa"/>
              <w:bottom w:w="85" w:type="dxa"/>
              <w:right w:w="100" w:type="dxa"/>
            </w:tcMar>
            <w:vAlign w:val="center"/>
          </w:tcPr>
          <w:p w14:paraId="1BB497DD" w14:textId="77777777" w:rsidR="00DB4CE1" w:rsidRDefault="00E03F66">
            <w:pPr>
              <w:spacing w:after="0" w:line="240" w:lineRule="auto"/>
              <w:jc w:val="left"/>
            </w:pPr>
            <w:r>
              <w:rPr>
                <w:color w:val="000000"/>
                <w:sz w:val="21"/>
              </w:rPr>
              <w:t>12:42:40–12:43:20</w:t>
            </w:r>
          </w:p>
        </w:tc>
        <w:tc>
          <w:tcPr>
            <w:tcW w:w="3520" w:type="dxa"/>
            <w:shd w:val="clear" w:color="auto" w:fill="FFFFFF"/>
            <w:tcMar>
              <w:top w:w="85" w:type="dxa"/>
              <w:left w:w="100" w:type="dxa"/>
              <w:bottom w:w="85" w:type="dxa"/>
              <w:right w:w="100" w:type="dxa"/>
            </w:tcMar>
            <w:vAlign w:val="center"/>
          </w:tcPr>
          <w:p w14:paraId="7A32B97F" w14:textId="77777777" w:rsidR="00DB4CE1" w:rsidRDefault="00E03F66">
            <w:pPr>
              <w:spacing w:after="0" w:line="240" w:lineRule="auto"/>
              <w:jc w:val="left"/>
            </w:pPr>
            <w:r>
              <w:rPr>
                <w:color w:val="000000"/>
                <w:sz w:val="21"/>
              </w:rPr>
              <w:t>Lasith asks for TRUE/FALSE values and describes credentials, token and API endpoint without VPN.</w:t>
            </w:r>
          </w:p>
        </w:tc>
        <w:tc>
          <w:tcPr>
            <w:tcW w:w="3000" w:type="dxa"/>
            <w:shd w:val="clear" w:color="auto" w:fill="FFFFFF"/>
            <w:tcMar>
              <w:top w:w="85" w:type="dxa"/>
              <w:left w:w="100" w:type="dxa"/>
              <w:bottom w:w="85" w:type="dxa"/>
              <w:right w:w="100" w:type="dxa"/>
            </w:tcMar>
            <w:vAlign w:val="center"/>
          </w:tcPr>
          <w:p w14:paraId="07033088" w14:textId="77777777" w:rsidR="00DB4CE1" w:rsidRDefault="00E03F66">
            <w:pPr>
              <w:spacing w:after="0" w:line="240" w:lineRule="auto"/>
              <w:jc w:val="left"/>
            </w:pPr>
            <w:r>
              <w:rPr>
                <w:color w:val="000000"/>
                <w:sz w:val="21"/>
              </w:rPr>
              <w:t>Configuration and authentication instructions, not proof of an implemented integration.</w:t>
            </w:r>
          </w:p>
        </w:tc>
      </w:tr>
    </w:tbl>
    <w:p w14:paraId="098935E2" w14:textId="77777777" w:rsidR="00DB4CE1" w:rsidRDefault="00E03F66">
      <w:pPr>
        <w:pStyle w:val="Descripcin"/>
        <w:spacing w:before="80" w:after="160"/>
      </w:pPr>
      <w:r>
        <w:t xml:space="preserve">Table 2. </w:t>
      </w:r>
      <w:r>
        <w:t>Primary-source comparison with the first review. [E15]</w:t>
      </w:r>
    </w:p>
    <w:p w14:paraId="6FE4D3A0" w14:textId="77777777" w:rsidR="00DB4CE1" w:rsidRDefault="00E03F66">
      <w:pPr>
        <w:spacing w:after="140" w:line="276" w:lineRule="auto"/>
      </w:pPr>
      <w:r>
        <w:t>At 12:38:25 the transcript says “AMT and API”; at 12:39:14 it says “API or DMS”. The official workbook says AMT + DMS. These labels must be clarified with Lasith rather than treating AMT and API as est</w:t>
      </w:r>
      <w:r>
        <w:t>ablished synonyms. The surrounding conversation does not resolve the ambiguity. [E01, E15]</w:t>
      </w:r>
    </w:p>
    <w:p w14:paraId="389787A1" w14:textId="77777777" w:rsidR="00DB4CE1" w:rsidRDefault="00E03F66">
      <w:pPr>
        <w:spacing w:after="140" w:line="276" w:lineRule="auto"/>
      </w:pPr>
      <w:r>
        <w:t>The full text also distinguishes registered and anonymous use, describes the Sevilla activity as completed and Lucena replication as forthcoming, and reports positiv</w:t>
      </w:r>
      <w:r>
        <w:t>e qualitative feedback. It does not provide a numerical satisfaction dataset, deployment timing, a roster for 48, historical unique usage or evidence that the deliverable had been finally approved. Lasith explicitly says the deliverable is still being revi</w:t>
      </w:r>
      <w:r>
        <w:t>ewed at 12:37:26. [E15]</w:t>
      </w:r>
    </w:p>
    <w:p w14:paraId="283AF18C" w14:textId="77777777" w:rsidR="00DB4CE1" w:rsidRDefault="00E03F66">
      <w:pPr>
        <w:pStyle w:val="Ttulo3"/>
        <w:pageBreakBefore/>
        <w:spacing w:before="0" w:after="160"/>
      </w:pPr>
      <w:bookmarkStart w:id="2" w:name="_Toc243394622"/>
      <w:r>
        <w:lastRenderedPageBreak/>
        <w:t>3 Assessment of the Nine Official Indicators</w:t>
      </w:r>
      <w:bookmarkEnd w:id="2"/>
    </w:p>
    <w:p w14:paraId="78515B54" w14:textId="77777777" w:rsidR="00DB4CE1" w:rsidRDefault="00E03F66">
      <w:pPr>
        <w:spacing w:after="140" w:line="276" w:lineRule="auto"/>
      </w:pPr>
      <w:r>
        <w:t>Codes, names, contextual definitions, units, targets, baselines and collection frequencies are preserved in the official workbook. Declared baselines are retained as received, not certifi</w:t>
      </w:r>
      <w:r>
        <w:t>ed as newly measured facts. The March–August review does not replace annual, seasonal, per-event or quarterly measurement windows. The traceability workbook records each original baseline and both official time fields verbatim. [E01, E02, E04]</w:t>
      </w:r>
    </w:p>
    <w:p w14:paraId="64298CB1" w14:textId="77777777" w:rsidR="00DB4CE1" w:rsidRDefault="00E03F66">
      <w:pPr>
        <w:pStyle w:val="Ttulo4"/>
        <w:spacing w:before="180" w:after="160"/>
      </w:pPr>
      <w:r>
        <w:t xml:space="preserve">3.1 NBS4.20 </w:t>
      </w:r>
      <w:r>
        <w:t>Water Exploitation Index</w:t>
      </w:r>
    </w:p>
    <w:p w14:paraId="290740C9" w14:textId="77777777" w:rsidR="00DB4CE1" w:rsidRDefault="00E03F66">
      <w:pPr>
        <w:spacing w:after="140" w:line="276" w:lineRule="auto"/>
      </w:pPr>
      <w:r>
        <w:rPr>
          <w:sz w:val="22"/>
        </w:rPr>
        <w:t>Official definition: Ratio between available water resources and the total amount of water used. Reflects water stress. Unit: Index (0–1 / %). Target: 10-15%. Collection time: Annual. Frequency: Periodic (annual). [E01]</w:t>
      </w:r>
    </w:p>
    <w:p w14:paraId="164D3ABC" w14:textId="77777777" w:rsidR="00DB4CE1" w:rsidRDefault="00E03F66">
      <w:pPr>
        <w:spacing w:after="140" w:line="276" w:lineRule="auto"/>
      </w:pPr>
      <w:r>
        <w:rPr>
          <w:sz w:val="22"/>
        </w:rPr>
        <w:t>Official re</w:t>
      </w:r>
      <w:r>
        <w:rPr>
          <w:sz w:val="22"/>
        </w:rPr>
        <w:t xml:space="preserve">sult: Not measured. No numerical value is validated. Official EEA/Eurostat contextual sources located; no matched Guadalquivir baseline and follow-up attributable to ANFORA. Review territorial water-consumption and renewable-resource series using the same </w:t>
      </w:r>
      <w:r>
        <w:rPr>
          <w:sz w:val="22"/>
        </w:rPr>
        <w:t>geography, season/year and baseline. The retrieved EEA seasonal series refers to 2023, not 2026. [E01, E04, E05, E17]</w:t>
      </w:r>
    </w:p>
    <w:p w14:paraId="2BD2FE5D" w14:textId="77777777" w:rsidR="00DB4CE1" w:rsidRDefault="00E03F66">
      <w:pPr>
        <w:spacing w:after="140" w:line="276" w:lineRule="auto"/>
      </w:pPr>
      <w:r>
        <w:rPr>
          <w:sz w:val="22"/>
        </w:rPr>
        <w:t>Required evidence and next step: Matched territorial baseline and follow-up, reference year/season and attribution method; clarify footpri</w:t>
      </w:r>
      <w:r>
        <w:rPr>
          <w:sz w:val="22"/>
        </w:rPr>
        <w:t>nt-target versus basin-index mapping. Lasith: clarify the template ratio wording and how the 10–15% footprint-linked target applies to the territorial index; preserve the received definition until approved.</w:t>
      </w:r>
    </w:p>
    <w:p w14:paraId="5874F4E0" w14:textId="77777777" w:rsidR="00DB4CE1" w:rsidRDefault="00E03F66">
      <w:pPr>
        <w:pStyle w:val="Ttulo4"/>
        <w:spacing w:before="180" w:after="160"/>
      </w:pPr>
      <w:r>
        <w:t xml:space="preserve">3.2 NBS15.1 Citizen involvement in </w:t>
      </w:r>
      <w:r>
        <w:t>environmental education activities (Total)</w:t>
      </w:r>
    </w:p>
    <w:p w14:paraId="19E30CF8" w14:textId="77777777" w:rsidR="00DB4CE1" w:rsidRDefault="00E03F66">
      <w:pPr>
        <w:spacing w:after="140" w:line="276" w:lineRule="auto"/>
      </w:pPr>
      <w:r>
        <w:rPr>
          <w:sz w:val="22"/>
        </w:rPr>
        <w:t>Official definition: Number of citizens participating in environmental education activities. Unit: # participants. Target: 50 trained users. Collection time: Periodic (per event). Frequency: Discrete / event-based</w:t>
      </w:r>
      <w:r>
        <w:rPr>
          <w:sz w:val="22"/>
        </w:rPr>
        <w:t>. [E01]</w:t>
      </w:r>
    </w:p>
    <w:p w14:paraId="36754688" w14:textId="77777777" w:rsidR="00DB4CE1" w:rsidRDefault="00E03F66">
      <w:pPr>
        <w:spacing w:after="140" w:line="276" w:lineRule="auto"/>
      </w:pPr>
      <w:r>
        <w:rPr>
          <w:sz w:val="22"/>
        </w:rPr>
        <w:t>Official result: Not verified. No numerical value is validated. Training materials exist in April. The verified September webinar and approximately 50 students in October fall after cut-off. The transcript verifies the statement of 48, not the peop</w:t>
      </w:r>
      <w:r>
        <w:rPr>
          <w:sz w:val="22"/>
        </w:rPr>
        <w:t>le or their dates. Francisco says “48 trainers” at 12:40:17. At 12:40:50 Lasith requires the March–August subset; at 12:41:01–12:41:10 Francisco undertakes to check it and distinguish latest from previous training. No event/date/roster link is given. [E03,</w:t>
      </w:r>
      <w:r>
        <w:rPr>
          <w:sz w:val="22"/>
        </w:rPr>
        <w:t xml:space="preserve"> E06, E08, E09, E14, E15]</w:t>
      </w:r>
    </w:p>
    <w:p w14:paraId="4C1FB156" w14:textId="77777777" w:rsidR="00DB4CE1" w:rsidRDefault="00E03F66">
      <w:pPr>
        <w:spacing w:after="140" w:line="276" w:lineRule="auto"/>
      </w:pPr>
      <w:r>
        <w:rPr>
          <w:sz w:val="22"/>
        </w:rPr>
        <w:t>Required evidence and next step: Evenor-Tech/Francisco: identify whether 48 means trainers, trainees, one event or a cumulative total; supply event dates and source attendance/completion records. Reconcile eligible in-period parti</w:t>
      </w:r>
      <w:r>
        <w:rPr>
          <w:sz w:val="22"/>
        </w:rPr>
        <w:t>cipants and duplicates. Lasith: confirm repeated-attendance counting rule.</w:t>
      </w:r>
    </w:p>
    <w:p w14:paraId="76E31997" w14:textId="77777777" w:rsidR="00DB4CE1" w:rsidRDefault="00E03F66">
      <w:pPr>
        <w:pStyle w:val="Ttulo4"/>
        <w:spacing w:before="180" w:after="160"/>
      </w:pPr>
      <w:r>
        <w:lastRenderedPageBreak/>
        <w:t>3.3 NBS24.18 Number of new jobs in green sector (Total)</w:t>
      </w:r>
    </w:p>
    <w:p w14:paraId="01599E89" w14:textId="77777777" w:rsidR="00DB4CE1" w:rsidRDefault="00E03F66">
      <w:pPr>
        <w:spacing w:after="140" w:line="276" w:lineRule="auto"/>
      </w:pPr>
      <w:r>
        <w:rPr>
          <w:sz w:val="22"/>
        </w:rPr>
        <w:t xml:space="preserve">Official definition: New jobs created in sustainability-related sectors (renewables, agri-food, digital green </w:t>
      </w:r>
      <w:r>
        <w:rPr>
          <w:sz w:val="22"/>
        </w:rPr>
        <w:t>services). Unit: # jobs. Target: at least 1 new full-time employment opportunity (FTE). Collection time: Annual. Frequency: Periodic (annual). [E01]</w:t>
      </w:r>
    </w:p>
    <w:p w14:paraId="662397CD" w14:textId="77777777" w:rsidR="00DB4CE1" w:rsidRDefault="00E03F66">
      <w:pPr>
        <w:spacing w:after="140" w:line="276" w:lineRule="auto"/>
      </w:pPr>
      <w:r>
        <w:rPr>
          <w:sz w:val="22"/>
        </w:rPr>
        <w:t>Official result: Not verified. No numerical value is validated. The earlier workbook identifies 5.45 planne</w:t>
      </w:r>
      <w:r>
        <w:rPr>
          <w:sz w:val="22"/>
        </w:rPr>
        <w:t>d person-months. No dated hiring, payroll or attributable FTE evidence was located. Compare dated HR/employment records with the declared project-start baseline. Planned team effort is not a count of newly created jobs. [E01, E02, E04, E05, E13]</w:t>
      </w:r>
    </w:p>
    <w:p w14:paraId="7E838FDA" w14:textId="77777777" w:rsidR="00DB4CE1" w:rsidRDefault="00E03F66">
      <w:pPr>
        <w:spacing w:after="140" w:line="276" w:lineRule="auto"/>
      </w:pPr>
      <w:r>
        <w:rPr>
          <w:sz w:val="22"/>
        </w:rPr>
        <w:t>Required e</w:t>
      </w:r>
      <w:r>
        <w:rPr>
          <w:sz w:val="22"/>
        </w:rPr>
        <w:t>vidence and next step: Dated employment or contract evidence, role eligibility, hours and FTE calculation for the official annual window.</w:t>
      </w:r>
    </w:p>
    <w:p w14:paraId="18329795" w14:textId="77777777" w:rsidR="00DB4CE1" w:rsidRDefault="00E03F66">
      <w:pPr>
        <w:pStyle w:val="Ttulo4"/>
        <w:spacing w:before="180" w:after="160"/>
      </w:pPr>
      <w:r>
        <w:t>3.4 RRTG.SC-01b Number of participants in citizens engagement activities (Total)</w:t>
      </w:r>
    </w:p>
    <w:p w14:paraId="67EDEC7E" w14:textId="77777777" w:rsidR="00DB4CE1" w:rsidRDefault="00E03F66">
      <w:pPr>
        <w:spacing w:after="140" w:line="276" w:lineRule="auto"/>
      </w:pPr>
      <w:r>
        <w:rPr>
          <w:sz w:val="22"/>
        </w:rPr>
        <w:t xml:space="preserve">Official definition: Total number of </w:t>
      </w:r>
      <w:r>
        <w:rPr>
          <w:sz w:val="22"/>
        </w:rPr>
        <w:t>participants in citizen engagement activities (workshops, co-creation sessions, awareness campaigns). Unit: # participants. Target: Minimum of 100 registered users. Collection time: Periodic (per event). Frequency: Discrete / event-based. [E01]</w:t>
      </w:r>
    </w:p>
    <w:p w14:paraId="2D9694E9" w14:textId="77777777" w:rsidR="00DB4CE1" w:rsidRDefault="00E03F66">
      <w:pPr>
        <w:spacing w:after="140" w:line="276" w:lineRule="auto"/>
      </w:pPr>
      <w:r>
        <w:rPr>
          <w:sz w:val="22"/>
        </w:rPr>
        <w:t>Official re</w:t>
      </w:r>
      <w:r>
        <w:rPr>
          <w:sz w:val="22"/>
        </w:rPr>
        <w:t>sult: Not verified. No numerical value is validated. Coordination on 5 August and June/August outreach are evidenced. Database: one account created during the period; four earlier; five accumulated by cut-off. Account eligibility is unclassified. Reconcile</w:t>
      </w:r>
      <w:r>
        <w:rPr>
          <w:sz w:val="22"/>
        </w:rPr>
        <w:t xml:space="preserve"> eligible attendance records per event. Obtain the counting rule for repeat participants. The # participants definition and 100 registered users target remain verbatim; do not compute target attainment across these different measures. [E01, E03, E04, E06, </w:t>
      </w:r>
      <w:r>
        <w:rPr>
          <w:sz w:val="22"/>
        </w:rPr>
        <w:t>E07, E11, E12]</w:t>
      </w:r>
    </w:p>
    <w:p w14:paraId="04DB8125" w14:textId="77777777" w:rsidR="00DB4CE1" w:rsidRDefault="00E03F66">
      <w:pPr>
        <w:spacing w:after="140" w:line="276" w:lineRule="auto"/>
      </w:pPr>
      <w:r>
        <w:rPr>
          <w:sz w:val="22"/>
        </w:rPr>
        <w:t>Required evidence and next step: Eligible citizen-engagement roster and deduplication; written clarification of participant definition versus 100-registered-user target.</w:t>
      </w:r>
    </w:p>
    <w:p w14:paraId="73F61B64" w14:textId="77777777" w:rsidR="00DB4CE1" w:rsidRDefault="00E03F66">
      <w:pPr>
        <w:pStyle w:val="Ttulo4"/>
        <w:spacing w:before="180" w:after="160"/>
      </w:pPr>
      <w:r>
        <w:t>3.5 INNOV_002 Energy consumption of irrigation systems (kWh/ha)</w:t>
      </w:r>
    </w:p>
    <w:p w14:paraId="4385B8F3" w14:textId="77777777" w:rsidR="00DB4CE1" w:rsidRDefault="00E03F66">
      <w:pPr>
        <w:spacing w:after="140" w:line="276" w:lineRule="auto"/>
      </w:pPr>
      <w:r>
        <w:rPr>
          <w:sz w:val="22"/>
        </w:rPr>
        <w:t>Officia</w:t>
      </w:r>
      <w:r>
        <w:rPr>
          <w:sz w:val="22"/>
        </w:rPr>
        <w:t>l definition: Connects water savings to energy efficiency, highlighting ANFORA's contribution to the water–energy–food nexus. Unit: kWh/ha. Target: 5-10% reduction in energy consumption for irrigation. Collection time: Periodic (per season). Frequency: Sea</w:t>
      </w:r>
      <w:r>
        <w:rPr>
          <w:sz w:val="22"/>
        </w:rPr>
        <w:t>sonal / annual. [E01]</w:t>
      </w:r>
    </w:p>
    <w:p w14:paraId="7C151239" w14:textId="77777777" w:rsidR="00DB4CE1" w:rsidRDefault="00E03F66">
      <w:pPr>
        <w:spacing w:after="140" w:line="276" w:lineRule="auto"/>
      </w:pPr>
      <w:r>
        <w:rPr>
          <w:sz w:val="22"/>
        </w:rPr>
        <w:t>Official result: Not measured. No numerical value is validated. No farm/crop metering series, treated area or comparable seasonal baseline/follow-up was located. The food calculator produces water-footprint estimates, not irrigation e</w:t>
      </w:r>
      <w:r>
        <w:rPr>
          <w:sz w:val="22"/>
        </w:rPr>
        <w:t>lectricity measurements. Use dated irrigation electricity consumption divided by irrigated area for the same farms/crops and matching season/year. Preserve the official seasonal/annual window. [E01, E04, E05, E10, E13]</w:t>
      </w:r>
    </w:p>
    <w:p w14:paraId="4F690DA4" w14:textId="77777777" w:rsidR="00DB4CE1" w:rsidRDefault="00E03F66">
      <w:pPr>
        <w:spacing w:after="140" w:line="276" w:lineRule="auto"/>
      </w:pPr>
      <w:r>
        <w:rPr>
          <w:sz w:val="22"/>
        </w:rPr>
        <w:t>Required evidence and next step: Farm</w:t>
      </w:r>
      <w:r>
        <w:rPr>
          <w:sz w:val="22"/>
        </w:rPr>
        <w:t xml:space="preserve"> agreements and source readings, area denominator, reference season and matched follow-up.</w:t>
      </w:r>
    </w:p>
    <w:p w14:paraId="0C3D2D04" w14:textId="77777777" w:rsidR="00DB4CE1" w:rsidRDefault="00E03F66">
      <w:pPr>
        <w:pStyle w:val="Ttulo4"/>
        <w:spacing w:before="180" w:after="160"/>
      </w:pPr>
      <w:r>
        <w:lastRenderedPageBreak/>
        <w:t>3.6 INNOV_003 User interaction data from digital platforms</w:t>
      </w:r>
    </w:p>
    <w:p w14:paraId="21F49D2A" w14:textId="77777777" w:rsidR="00DB4CE1" w:rsidRDefault="00E03F66">
      <w:pPr>
        <w:spacing w:after="140" w:line="276" w:lineRule="auto"/>
      </w:pPr>
      <w:r>
        <w:rPr>
          <w:sz w:val="22"/>
        </w:rPr>
        <w:t>Official definition: Complements KPIs 16 &amp; 17 (registered and trained users), offering deeper insights int</w:t>
      </w:r>
      <w:r>
        <w:rPr>
          <w:sz w:val="22"/>
        </w:rPr>
        <w:t>o platform adoption and behavioural change. Unit: # users, sessions. Target: Continuous engagement metrics — complementary to KPI16 (100 registered users): &lt;10 critical incidents (KPI15) and growing average session duration / return rate from M13 onwards..</w:t>
      </w:r>
      <w:r>
        <w:rPr>
          <w:sz w:val="22"/>
        </w:rPr>
        <w:t xml:space="preserve"> Collection time: Real-time. Frequency: Continuous. [E01]</w:t>
      </w:r>
    </w:p>
    <w:p w14:paraId="403E1C44" w14:textId="77777777" w:rsidR="00DB4CE1" w:rsidRDefault="00E03F66">
      <w:pPr>
        <w:spacing w:after="140" w:line="276" w:lineRule="auto"/>
      </w:pPr>
      <w:r>
        <w:rPr>
          <w:sz w:val="22"/>
        </w:rPr>
        <w:t>Official result: Not verified. No numerical value is validated. One account created in-period, five cumulative at cut-off, and two anonymous calculation records dated 31 August are reproducible auxi</w:t>
      </w:r>
      <w:r>
        <w:rPr>
          <w:sz w:val="22"/>
        </w:rPr>
        <w:t>liary counts. No verified external-user, unique-user, session or real-interaction total is established. Count timestamps as records only. Recover retained PostHog events and session IDs; verify deployment/coverage and identity resolution. Exclude known syn</w:t>
      </w:r>
      <w:r>
        <w:rPr>
          <w:sz w:val="22"/>
        </w:rPr>
        <w:t>thetic, internal and QA activity without assuming that residual records are external. [E03, E04, E10, E11, E12, E18]</w:t>
      </w:r>
    </w:p>
    <w:p w14:paraId="29CF2589" w14:textId="77777777" w:rsidR="00DB4CE1" w:rsidRDefault="00E03F66">
      <w:pPr>
        <w:spacing w:after="140" w:line="276" w:lineRule="auto"/>
      </w:pPr>
      <w:r>
        <w:rPr>
          <w:sz w:val="22"/>
        </w:rPr>
        <w:t>Required evidence and next step: Evenor-Tech analytics owner: historical export and retention/coverage evidence, timestamp/event/identity/s</w:t>
      </w:r>
      <w:r>
        <w:rPr>
          <w:sz w:val="22"/>
        </w:rPr>
        <w:t>ession fields, internal/QA exclusion register. Lasith: agree active/unique user and session definitions and reporting of partial consent coverage.</w:t>
      </w:r>
    </w:p>
    <w:p w14:paraId="0ADFC187" w14:textId="77777777" w:rsidR="00DB4CE1" w:rsidRDefault="00E03F66">
      <w:pPr>
        <w:pStyle w:val="Ttulo4"/>
        <w:spacing w:before="180" w:after="160"/>
      </w:pPr>
      <w:r>
        <w:t>3.7 INNOV_004 Water saved through behavioural change (litres or %)</w:t>
      </w:r>
    </w:p>
    <w:p w14:paraId="451019D4" w14:textId="77777777" w:rsidR="00DB4CE1" w:rsidRDefault="00E03F66">
      <w:pPr>
        <w:spacing w:after="140" w:line="276" w:lineRule="auto"/>
      </w:pPr>
      <w:r>
        <w:rPr>
          <w:sz w:val="22"/>
        </w:rPr>
        <w:t>Official definition: Difference between ba</w:t>
      </w:r>
      <w:r>
        <w:rPr>
          <w:sz w:val="22"/>
        </w:rPr>
        <w:t>seline water footprint and adjusted diet/recipe/product choices simulated in ANFORA. Unit: Litres / %. Target: 10-15%. Collection time: Per user action. Frequency: Continuous / On-demand. [E01]</w:t>
      </w:r>
    </w:p>
    <w:p w14:paraId="15BBC64A" w14:textId="77777777" w:rsidR="00DB4CE1" w:rsidRDefault="00E03F66">
      <w:pPr>
        <w:spacing w:after="140" w:line="276" w:lineRule="auto"/>
      </w:pPr>
      <w:r>
        <w:rPr>
          <w:sz w:val="22"/>
        </w:rPr>
        <w:t>Official result: Not measured. No numerical value is validated</w:t>
      </w:r>
      <w:r>
        <w:rPr>
          <w:sz w:val="22"/>
        </w:rPr>
        <w:t>. No comparable paired baseline/alternative/follow-up series or measured behaviour-change dataset. The fixed 2,500 L/serving comparison is not a participant baseline. Recover dated matched baseline and adjusted scenarios with consistent ingredient sources,</w:t>
      </w:r>
      <w:r>
        <w:rPr>
          <w:sz w:val="22"/>
        </w:rPr>
        <w:t xml:space="preserve"> quantities, units and servings. Calculate baseline minus adjusted footprint, and percent only with a valid non-zero baseline. Label simulation as simulation; observed consumption change is a separate claim. [E01, E03, E04, E10, E11, E13]</w:t>
      </w:r>
    </w:p>
    <w:p w14:paraId="5FB2CA6A" w14:textId="77777777" w:rsidR="00DB4CE1" w:rsidRDefault="00E03F66">
      <w:pPr>
        <w:spacing w:after="140" w:line="276" w:lineRule="auto"/>
      </w:pPr>
      <w:r>
        <w:rPr>
          <w:sz w:val="22"/>
        </w:rPr>
        <w:t>Required evidence</w:t>
      </w:r>
      <w:r>
        <w:rPr>
          <w:sz w:val="22"/>
        </w:rPr>
        <w:t xml:space="preserve"> and next step: Evenor-Tech: contemporaneous matched baseline/adjusted scenario pairs. The official definition permits simulated choices, but two unlinked anonymous records do not form a valid pair. Lasith: agree aggregation and simulated-versus-observed r</w:t>
      </w:r>
      <w:r>
        <w:rPr>
          <w:sz w:val="22"/>
        </w:rPr>
        <w:t>eporting.</w:t>
      </w:r>
    </w:p>
    <w:p w14:paraId="690C33ED" w14:textId="77777777" w:rsidR="00DB4CE1" w:rsidRDefault="00E03F66">
      <w:pPr>
        <w:pStyle w:val="Ttulo4"/>
        <w:spacing w:before="180" w:after="160"/>
      </w:pPr>
      <w:r>
        <w:t>3.8 INNOV_005 EWI: Low User Engagement Alert</w:t>
      </w:r>
    </w:p>
    <w:p w14:paraId="1430E8C3" w14:textId="77777777" w:rsidR="00DB4CE1" w:rsidRDefault="00E03F66">
      <w:pPr>
        <w:spacing w:after="140" w:line="276" w:lineRule="auto"/>
      </w:pPr>
      <w:r>
        <w:rPr>
          <w:sz w:val="22"/>
        </w:rPr>
        <w:t>Official definition: Early Warning Indicator that triggers an alert when satisfaction scores in pilot tests fall below 80% or when the average satisfaction score drops under 4/5, enabling corrective ac</w:t>
      </w:r>
      <w:r>
        <w:rPr>
          <w:sz w:val="22"/>
        </w:rPr>
        <w:t xml:space="preserve">tions on usability, content or training. Unit: % satisfaction / score (1–5). Target: Alert if satisfaction &lt;80% (KPI14) or average score &lt;4/5 (KPI19). Collection time: Periodic (per pilot / per event). Frequency: Per pilot iteration (M7–M9) and continuous </w:t>
      </w:r>
      <w:r>
        <w:rPr>
          <w:sz w:val="22"/>
        </w:rPr>
        <w:t>after launch. [E01]</w:t>
      </w:r>
    </w:p>
    <w:p w14:paraId="335E3644" w14:textId="77777777" w:rsidR="00DB4CE1" w:rsidRDefault="00E03F66">
      <w:pPr>
        <w:spacing w:after="140" w:line="276" w:lineRule="auto"/>
      </w:pPr>
      <w:r>
        <w:rPr>
          <w:sz w:val="22"/>
        </w:rPr>
        <w:lastRenderedPageBreak/>
        <w:t xml:space="preserve">Official result: Not assessable. No numerical value is validated. Questionnaire content and a feedback/contact route exist. No validated numerical satisfaction responses, denominator, event score or executed alert result was available. </w:t>
      </w:r>
      <w:r>
        <w:rPr>
          <w:sz w:val="22"/>
        </w:rPr>
        <w:t>Apply the original threshold, satisfaction below 80% or mean score below 4/5, to a defined completed survey cohort. An absent dataset is not a false alert or zero score. [E01, E03, E04, E09, E12, E13, E14]</w:t>
      </w:r>
    </w:p>
    <w:p w14:paraId="405495BC" w14:textId="77777777" w:rsidR="00DB4CE1" w:rsidRDefault="00E03F66">
      <w:pPr>
        <w:spacing w:after="140" w:line="276" w:lineRule="auto"/>
      </w:pPr>
      <w:r>
        <w:rPr>
          <w:sz w:val="22"/>
        </w:rPr>
        <w:t xml:space="preserve">Required evidence and next step: Completed survey </w:t>
      </w:r>
      <w:r>
        <w:rPr>
          <w:sz w:val="22"/>
        </w:rPr>
        <w:t>export, instrument version, denominator, event dates and a recorded alert evaluation.</w:t>
      </w:r>
    </w:p>
    <w:p w14:paraId="08012EA2" w14:textId="77777777" w:rsidR="00DB4CE1" w:rsidRDefault="00E03F66">
      <w:pPr>
        <w:pStyle w:val="Ttulo4"/>
        <w:spacing w:before="180" w:after="160"/>
      </w:pPr>
      <w:r>
        <w:t>3.9 INNOV_006 EWI: Demographic Imbalance Alert</w:t>
      </w:r>
    </w:p>
    <w:p w14:paraId="3066AE75" w14:textId="77777777" w:rsidR="00DB4CE1" w:rsidRDefault="00E03F66">
      <w:pPr>
        <w:spacing w:after="140" w:line="276" w:lineRule="auto"/>
      </w:pPr>
      <w:r>
        <w:rPr>
          <w:sz w:val="22"/>
        </w:rPr>
        <w:t>Official definition: Early Warning Indicator that monitors whether ANFORA effectively reaches vulnerable groups — people un</w:t>
      </w:r>
      <w:r>
        <w:rPr>
          <w:sz w:val="22"/>
        </w:rPr>
        <w:t>der 30, people over 55 and the long-term unemployed — to safeguard social inclusion in line with the Cross-cutting Priority. Unit: % per target group. Target: Balanced representation of the 6 target groups (youth &lt;30, adults &gt;55, long-term unemployed, farm</w:t>
      </w:r>
      <w:r>
        <w:rPr>
          <w:sz w:val="22"/>
        </w:rPr>
        <w:t>ers, agri-food industry, researchers); alert if any vulnerable group &lt;10% of total users.. Collection time: Periodic (per event / cohort). Frequency: Quarterly review during M13–M18. [E01]</w:t>
      </w:r>
    </w:p>
    <w:p w14:paraId="6E3F7B6B" w14:textId="77777777" w:rsidR="00DB4CE1" w:rsidRDefault="00E03F66">
      <w:pPr>
        <w:spacing w:after="140" w:line="276" w:lineRule="auto"/>
      </w:pPr>
      <w:r>
        <w:rPr>
          <w:sz w:val="22"/>
        </w:rPr>
        <w:t>Official result: Not assessable. No numerical value is validated. T</w:t>
      </w:r>
      <w:r>
        <w:rPr>
          <w:sz w:val="22"/>
        </w:rPr>
        <w:t xml:space="preserve">he current User model has no age-group or employment-status fields; no verified consent-based cohort dataset was located. Student attendance does not establish age or vulnerability. Calculate each defined group share from consent-based declarations and an </w:t>
      </w:r>
      <w:r>
        <w:rPr>
          <w:sz w:val="22"/>
        </w:rPr>
        <w:t>eligible cohort denominator; preserve the official group definitions and less-than-10% alert criterion. [E01, E03, E04, E11, E12, E13, E14]</w:t>
      </w:r>
    </w:p>
    <w:p w14:paraId="146EAB90" w14:textId="77777777" w:rsidR="00DB4CE1" w:rsidRDefault="00E03F66">
      <w:pPr>
        <w:spacing w:after="140" w:line="276" w:lineRule="auto"/>
      </w:pPr>
      <w:r>
        <w:rPr>
          <w:sz w:val="22"/>
        </w:rPr>
        <w:t xml:space="preserve">Required evidence and next step: Consented group data, reference cohort, denominator, missing-response handling and </w:t>
      </w:r>
      <w:r>
        <w:rPr>
          <w:sz w:val="22"/>
        </w:rPr>
        <w:t>an alert evaluation.</w:t>
      </w:r>
    </w:p>
    <w:p w14:paraId="74B8782B" w14:textId="77777777" w:rsidR="00DB4CE1" w:rsidRDefault="00E03F66">
      <w:pPr>
        <w:spacing w:after="140" w:line="276" w:lineRule="auto"/>
      </w:pPr>
      <w:r>
        <w:t xml:space="preserve">The RRTG.SC-01b definition measures participants in citizen-engagement activities, while its target and baseline refer to registered users. Both are retained. No attendance-to-registration conversion or achievement percentage is </w:t>
      </w:r>
      <w:r>
        <w:t>computed. Lasith must confirm the intended target mapping and whether recurring attendees count once per event or once per reporting cohort. [E01, E15]</w:t>
      </w:r>
    </w:p>
    <w:p w14:paraId="63E7070D" w14:textId="77777777" w:rsidR="00DB4CE1" w:rsidRDefault="00E03F66">
      <w:pPr>
        <w:spacing w:after="140" w:line="276" w:lineRule="auto"/>
      </w:pPr>
      <w:r>
        <w:t xml:space="preserve">For NBS4.20, the template’s ratio wording and its 10–15% target also need clarification: the contextual </w:t>
      </w:r>
      <w:r>
        <w:t>territorial index and the early-adopter footprint KPI are different measures. No definition is silently reversed or target reallocated. For INNOV_004, simulated choices are expressly allowed by the official definition; valid dated paired scenarios would su</w:t>
      </w:r>
      <w:r>
        <w:t>pport a modelled footprint difference, but neither two unlinked calculations nor a fixed serving benchmark establishes that result. [E01, E11, E17]</w:t>
      </w:r>
    </w:p>
    <w:p w14:paraId="31065A43" w14:textId="77777777" w:rsidR="00DB4CE1" w:rsidRDefault="00E03F66">
      <w:pPr>
        <w:pStyle w:val="Ttulo3"/>
        <w:pageBreakBefore/>
        <w:spacing w:before="0" w:after="160"/>
      </w:pPr>
      <w:bookmarkStart w:id="3" w:name="_Toc243394623"/>
      <w:r>
        <w:lastRenderedPageBreak/>
        <w:t>4 Pending Figures and Recoverable Evidence</w:t>
      </w:r>
      <w:bookmarkEnd w:id="3"/>
    </w:p>
    <w:p w14:paraId="5BC17C54" w14:textId="77777777" w:rsidR="00DB4CE1" w:rsidRDefault="00E03F66">
      <w:pPr>
        <w:pStyle w:val="Ttulo4"/>
        <w:spacing w:before="180" w:after="160"/>
      </w:pPr>
      <w:r>
        <w:t>4.1 The Statement of 48 Trainers</w:t>
      </w:r>
    </w:p>
    <w:p w14:paraId="28CB8100" w14:textId="77777777" w:rsidR="00DB4CE1" w:rsidRDefault="00E03F66">
      <w:pPr>
        <w:spacing w:after="140" w:line="276" w:lineRule="auto"/>
      </w:pPr>
      <w:r>
        <w:t xml:space="preserve">The transcript establishes that </w:t>
      </w:r>
      <w:r>
        <w:t>Francisco used the words “48 trainers” while referring to the latest training, and then undertook to distinguish it from previous training. It does not identify the event, its date, whether the people were trainers or trainees, whether 48 is cumulative, or</w:t>
      </w:r>
      <w:r>
        <w:t xml:space="preserve"> which people fall in March–August. The number is therefore retained only as an unvalidated claim. It must not be equated with the 48 calculation records dated 5 October. [E11, E15]</w:t>
      </w:r>
    </w:p>
    <w:p w14:paraId="2220B8B7" w14:textId="77777777" w:rsidR="00DB4CE1" w:rsidRDefault="00E03F66">
      <w:pPr>
        <w:spacing w:after="140" w:line="276" w:lineRule="auto"/>
      </w:pPr>
      <w:r>
        <w:t>The direct recovery step is for Francisco or the training organiser to ide</w:t>
      </w:r>
      <w:r>
        <w:t>ntify the source of 48 and provide the corresponding event list and original attendance or completion records. Record the date, activity delivered, pseudonymous participant identity, eligibility and repeated attendance. Count the March–August subset only a</w:t>
      </w:r>
      <w:r>
        <w:t>fter the rule for participants versus repeated attendances is agreed. If only an organiser estimate exists, retain it as an estimate outside the official value. [E01, E15]</w:t>
      </w:r>
    </w:p>
    <w:p w14:paraId="5C5B048B" w14:textId="77777777" w:rsidR="00DB4CE1" w:rsidRDefault="00E03F66">
      <w:pPr>
        <w:spacing w:after="140" w:line="276" w:lineRule="auto"/>
      </w:pPr>
      <w:r>
        <w:t>Existing April training materials prove preparation. The 5 August coordination minut</w:t>
      </w:r>
      <w:r>
        <w:t>es describe a demonstration and planned outreach but remain pending party validation and lack a complete eligible citizen roster. Invitations do not prove attendance. The 3 September webinar and 5 October ADA ITS session are after cut-off. An original Team</w:t>
      </w:r>
      <w:r>
        <w:t>s/Meet attendance report or a dated signed register is needed to recover an event count. No additional complete register was located in this review. [E06–E09, E14]</w:t>
      </w:r>
    </w:p>
    <w:p w14:paraId="2ACA2DF3" w14:textId="77777777" w:rsidR="00DB4CE1" w:rsidRDefault="00E03F66">
      <w:pPr>
        <w:pStyle w:val="Ttulo4"/>
        <w:spacing w:before="180" w:after="160"/>
      </w:pPr>
      <w:r>
        <w:t>4.2 Account Classification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0"/>
        <w:gridCol w:w="1640"/>
        <w:gridCol w:w="1640"/>
        <w:gridCol w:w="1680"/>
      </w:tblGrid>
      <w:tr w:rsidR="00DB4CE1" w14:paraId="6E136944" w14:textId="77777777">
        <w:trPr>
          <w:cantSplit/>
          <w:tblHeader/>
          <w:jc w:val="center"/>
        </w:trPr>
        <w:tc>
          <w:tcPr>
            <w:tcW w:w="3380" w:type="dxa"/>
            <w:shd w:val="clear" w:color="auto" w:fill="156082"/>
            <w:tcMar>
              <w:top w:w="85" w:type="dxa"/>
              <w:left w:w="100" w:type="dxa"/>
              <w:bottom w:w="85" w:type="dxa"/>
              <w:right w:w="100" w:type="dxa"/>
            </w:tcMar>
            <w:vAlign w:val="center"/>
          </w:tcPr>
          <w:p w14:paraId="29519ADF" w14:textId="77777777" w:rsidR="00DB4CE1" w:rsidRDefault="00E03F66">
            <w:pPr>
              <w:spacing w:after="0" w:line="240" w:lineRule="auto"/>
              <w:jc w:val="left"/>
            </w:pPr>
            <w:r>
              <w:rPr>
                <w:b/>
                <w:color w:val="FFFFFF"/>
                <w:sz w:val="21"/>
              </w:rPr>
              <w:t>Account records</w:t>
            </w:r>
          </w:p>
        </w:tc>
        <w:tc>
          <w:tcPr>
            <w:tcW w:w="1640" w:type="dxa"/>
            <w:shd w:val="clear" w:color="auto" w:fill="156082"/>
            <w:tcMar>
              <w:top w:w="85" w:type="dxa"/>
              <w:left w:w="100" w:type="dxa"/>
              <w:bottom w:w="85" w:type="dxa"/>
              <w:right w:w="100" w:type="dxa"/>
            </w:tcMar>
            <w:vAlign w:val="center"/>
          </w:tcPr>
          <w:p w14:paraId="3AAF1D73" w14:textId="77777777" w:rsidR="00DB4CE1" w:rsidRDefault="00E03F66">
            <w:pPr>
              <w:spacing w:after="0" w:line="240" w:lineRule="auto"/>
              <w:jc w:val="left"/>
            </w:pPr>
            <w:r>
              <w:rPr>
                <w:b/>
                <w:color w:val="FFFFFF"/>
                <w:sz w:val="21"/>
              </w:rPr>
              <w:t>Current snapshot</w:t>
            </w:r>
          </w:p>
        </w:tc>
        <w:tc>
          <w:tcPr>
            <w:tcW w:w="1640" w:type="dxa"/>
            <w:shd w:val="clear" w:color="auto" w:fill="156082"/>
            <w:tcMar>
              <w:top w:w="85" w:type="dxa"/>
              <w:left w:w="100" w:type="dxa"/>
              <w:bottom w:w="85" w:type="dxa"/>
              <w:right w:w="100" w:type="dxa"/>
            </w:tcMar>
            <w:vAlign w:val="center"/>
          </w:tcPr>
          <w:p w14:paraId="6B09A6B5" w14:textId="77777777" w:rsidR="00DB4CE1" w:rsidRDefault="00E03F66">
            <w:pPr>
              <w:spacing w:after="0" w:line="240" w:lineRule="auto"/>
              <w:jc w:val="left"/>
            </w:pPr>
            <w:r>
              <w:rPr>
                <w:b/>
                <w:color w:val="FFFFFF"/>
                <w:sz w:val="21"/>
              </w:rPr>
              <w:t>At cut-off</w:t>
            </w:r>
          </w:p>
        </w:tc>
        <w:tc>
          <w:tcPr>
            <w:tcW w:w="1680" w:type="dxa"/>
            <w:shd w:val="clear" w:color="auto" w:fill="156082"/>
            <w:tcMar>
              <w:top w:w="85" w:type="dxa"/>
              <w:left w:w="100" w:type="dxa"/>
              <w:bottom w:w="85" w:type="dxa"/>
              <w:right w:w="100" w:type="dxa"/>
            </w:tcMar>
            <w:vAlign w:val="center"/>
          </w:tcPr>
          <w:p w14:paraId="6C4D571A" w14:textId="77777777" w:rsidR="00DB4CE1" w:rsidRDefault="00E03F66">
            <w:pPr>
              <w:spacing w:after="0" w:line="240" w:lineRule="auto"/>
              <w:jc w:val="left"/>
            </w:pPr>
            <w:r>
              <w:rPr>
                <w:b/>
                <w:color w:val="FFFFFF"/>
                <w:sz w:val="21"/>
              </w:rPr>
              <w:t>Created in period</w:t>
            </w:r>
          </w:p>
        </w:tc>
      </w:tr>
      <w:tr w:rsidR="00DB4CE1" w14:paraId="6A4CDD48" w14:textId="77777777">
        <w:trPr>
          <w:cantSplit/>
          <w:jc w:val="center"/>
        </w:trPr>
        <w:tc>
          <w:tcPr>
            <w:tcW w:w="3380" w:type="dxa"/>
            <w:shd w:val="clear" w:color="auto" w:fill="FFFFFF"/>
            <w:tcMar>
              <w:top w:w="85" w:type="dxa"/>
              <w:left w:w="100" w:type="dxa"/>
              <w:bottom w:w="85" w:type="dxa"/>
              <w:right w:w="100" w:type="dxa"/>
            </w:tcMar>
            <w:vAlign w:val="center"/>
          </w:tcPr>
          <w:p w14:paraId="79BA5A66" w14:textId="77777777" w:rsidR="00DB4CE1" w:rsidRDefault="00E03F66">
            <w:pPr>
              <w:spacing w:after="0" w:line="240" w:lineRule="auto"/>
              <w:jc w:val="left"/>
            </w:pPr>
            <w:r>
              <w:rPr>
                <w:color w:val="000000"/>
                <w:sz w:val="21"/>
              </w:rPr>
              <w:t>Known synthetic identifiers</w:t>
            </w:r>
          </w:p>
        </w:tc>
        <w:tc>
          <w:tcPr>
            <w:tcW w:w="1640" w:type="dxa"/>
            <w:shd w:val="clear" w:color="auto" w:fill="FFFFFF"/>
            <w:tcMar>
              <w:top w:w="85" w:type="dxa"/>
              <w:left w:w="100" w:type="dxa"/>
              <w:bottom w:w="85" w:type="dxa"/>
              <w:right w:w="100" w:type="dxa"/>
            </w:tcMar>
            <w:vAlign w:val="center"/>
          </w:tcPr>
          <w:p w14:paraId="7D2AEF44" w14:textId="77777777" w:rsidR="00DB4CE1" w:rsidRDefault="00E03F66">
            <w:pPr>
              <w:spacing w:after="0" w:line="240" w:lineRule="auto"/>
              <w:jc w:val="center"/>
            </w:pPr>
            <w:r>
              <w:rPr>
                <w:color w:val="000000"/>
                <w:sz w:val="21"/>
              </w:rPr>
              <w:t>22</w:t>
            </w:r>
          </w:p>
        </w:tc>
        <w:tc>
          <w:tcPr>
            <w:tcW w:w="1640" w:type="dxa"/>
            <w:shd w:val="clear" w:color="auto" w:fill="FFFFFF"/>
            <w:tcMar>
              <w:top w:w="85" w:type="dxa"/>
              <w:left w:w="100" w:type="dxa"/>
              <w:bottom w:w="85" w:type="dxa"/>
              <w:right w:w="100" w:type="dxa"/>
            </w:tcMar>
            <w:vAlign w:val="center"/>
          </w:tcPr>
          <w:p w14:paraId="7329F96A" w14:textId="77777777" w:rsidR="00DB4CE1" w:rsidRDefault="00E03F66">
            <w:pPr>
              <w:spacing w:after="0" w:line="240" w:lineRule="auto"/>
              <w:jc w:val="center"/>
            </w:pPr>
            <w:r>
              <w:rPr>
                <w:color w:val="000000"/>
                <w:sz w:val="21"/>
              </w:rPr>
              <w:t>0</w:t>
            </w:r>
          </w:p>
        </w:tc>
        <w:tc>
          <w:tcPr>
            <w:tcW w:w="1680" w:type="dxa"/>
            <w:shd w:val="clear" w:color="auto" w:fill="FFFFFF"/>
            <w:tcMar>
              <w:top w:w="85" w:type="dxa"/>
              <w:left w:w="100" w:type="dxa"/>
              <w:bottom w:w="85" w:type="dxa"/>
              <w:right w:w="100" w:type="dxa"/>
            </w:tcMar>
            <w:vAlign w:val="center"/>
          </w:tcPr>
          <w:p w14:paraId="2C523F23" w14:textId="77777777" w:rsidR="00DB4CE1" w:rsidRDefault="00E03F66">
            <w:pPr>
              <w:spacing w:after="0" w:line="240" w:lineRule="auto"/>
              <w:jc w:val="center"/>
            </w:pPr>
            <w:r>
              <w:rPr>
                <w:color w:val="000000"/>
                <w:sz w:val="21"/>
              </w:rPr>
              <w:t>0</w:t>
            </w:r>
          </w:p>
        </w:tc>
      </w:tr>
      <w:tr w:rsidR="00DB4CE1" w14:paraId="167F8944" w14:textId="77777777">
        <w:trPr>
          <w:cantSplit/>
          <w:jc w:val="center"/>
        </w:trPr>
        <w:tc>
          <w:tcPr>
            <w:tcW w:w="3380" w:type="dxa"/>
            <w:shd w:val="clear" w:color="auto" w:fill="F2F6F8"/>
            <w:tcMar>
              <w:top w:w="85" w:type="dxa"/>
              <w:left w:w="100" w:type="dxa"/>
              <w:bottom w:w="85" w:type="dxa"/>
              <w:right w:w="100" w:type="dxa"/>
            </w:tcMar>
            <w:vAlign w:val="center"/>
          </w:tcPr>
          <w:p w14:paraId="21D1FC82" w14:textId="77777777" w:rsidR="00DB4CE1" w:rsidRDefault="00E03F66">
            <w:pPr>
              <w:spacing w:after="0" w:line="240" w:lineRule="auto"/>
              <w:jc w:val="left"/>
            </w:pPr>
            <w:r>
              <w:rPr>
                <w:color w:val="000000"/>
                <w:sz w:val="21"/>
              </w:rPr>
              <w:t>Company-domain flag outside known dataset</w:t>
            </w:r>
          </w:p>
        </w:tc>
        <w:tc>
          <w:tcPr>
            <w:tcW w:w="1640" w:type="dxa"/>
            <w:shd w:val="clear" w:color="auto" w:fill="F2F6F8"/>
            <w:tcMar>
              <w:top w:w="85" w:type="dxa"/>
              <w:left w:w="100" w:type="dxa"/>
              <w:bottom w:w="85" w:type="dxa"/>
              <w:right w:w="100" w:type="dxa"/>
            </w:tcMar>
            <w:vAlign w:val="center"/>
          </w:tcPr>
          <w:p w14:paraId="0FD0C98B" w14:textId="77777777" w:rsidR="00DB4CE1" w:rsidRDefault="00E03F66">
            <w:pPr>
              <w:spacing w:after="0" w:line="240" w:lineRule="auto"/>
              <w:jc w:val="center"/>
            </w:pPr>
            <w:r>
              <w:rPr>
                <w:color w:val="000000"/>
                <w:sz w:val="21"/>
              </w:rPr>
              <w:t>2</w:t>
            </w:r>
          </w:p>
        </w:tc>
        <w:tc>
          <w:tcPr>
            <w:tcW w:w="1640" w:type="dxa"/>
            <w:shd w:val="clear" w:color="auto" w:fill="F2F6F8"/>
            <w:tcMar>
              <w:top w:w="85" w:type="dxa"/>
              <w:left w:w="100" w:type="dxa"/>
              <w:bottom w:w="85" w:type="dxa"/>
              <w:right w:w="100" w:type="dxa"/>
            </w:tcMar>
            <w:vAlign w:val="center"/>
          </w:tcPr>
          <w:p w14:paraId="57D08374" w14:textId="77777777" w:rsidR="00DB4CE1" w:rsidRDefault="00E03F66">
            <w:pPr>
              <w:spacing w:after="0" w:line="240" w:lineRule="auto"/>
              <w:jc w:val="center"/>
            </w:pPr>
            <w:r>
              <w:rPr>
                <w:color w:val="000000"/>
                <w:sz w:val="21"/>
              </w:rPr>
              <w:t>2</w:t>
            </w:r>
          </w:p>
        </w:tc>
        <w:tc>
          <w:tcPr>
            <w:tcW w:w="1680" w:type="dxa"/>
            <w:shd w:val="clear" w:color="auto" w:fill="F2F6F8"/>
            <w:tcMar>
              <w:top w:w="85" w:type="dxa"/>
              <w:left w:w="100" w:type="dxa"/>
              <w:bottom w:w="85" w:type="dxa"/>
              <w:right w:w="100" w:type="dxa"/>
            </w:tcMar>
            <w:vAlign w:val="center"/>
          </w:tcPr>
          <w:p w14:paraId="754FEE8D" w14:textId="77777777" w:rsidR="00DB4CE1" w:rsidRDefault="00E03F66">
            <w:pPr>
              <w:spacing w:after="0" w:line="240" w:lineRule="auto"/>
              <w:jc w:val="center"/>
            </w:pPr>
            <w:r>
              <w:rPr>
                <w:color w:val="000000"/>
                <w:sz w:val="21"/>
              </w:rPr>
              <w:t>0</w:t>
            </w:r>
          </w:p>
        </w:tc>
      </w:tr>
      <w:tr w:rsidR="00DB4CE1" w14:paraId="17877A57" w14:textId="77777777">
        <w:trPr>
          <w:cantSplit/>
          <w:jc w:val="center"/>
        </w:trPr>
        <w:tc>
          <w:tcPr>
            <w:tcW w:w="3380" w:type="dxa"/>
            <w:shd w:val="clear" w:color="auto" w:fill="FFFFFF"/>
            <w:tcMar>
              <w:top w:w="85" w:type="dxa"/>
              <w:left w:w="100" w:type="dxa"/>
              <w:bottom w:w="85" w:type="dxa"/>
              <w:right w:w="100" w:type="dxa"/>
            </w:tcMar>
            <w:vAlign w:val="center"/>
          </w:tcPr>
          <w:p w14:paraId="35C1BADD" w14:textId="77777777" w:rsidR="00DB4CE1" w:rsidRDefault="00E03F66">
            <w:pPr>
              <w:spacing w:after="0" w:line="240" w:lineRule="auto"/>
              <w:jc w:val="left"/>
            </w:pPr>
            <w:r>
              <w:rPr>
                <w:color w:val="000000"/>
                <w:sz w:val="21"/>
              </w:rPr>
              <w:t>Still unclassified after those checks</w:t>
            </w:r>
          </w:p>
        </w:tc>
        <w:tc>
          <w:tcPr>
            <w:tcW w:w="1640" w:type="dxa"/>
            <w:shd w:val="clear" w:color="auto" w:fill="FFFFFF"/>
            <w:tcMar>
              <w:top w:w="85" w:type="dxa"/>
              <w:left w:w="100" w:type="dxa"/>
              <w:bottom w:w="85" w:type="dxa"/>
              <w:right w:w="100" w:type="dxa"/>
            </w:tcMar>
            <w:vAlign w:val="center"/>
          </w:tcPr>
          <w:p w14:paraId="642A7CDC" w14:textId="77777777" w:rsidR="00DB4CE1" w:rsidRDefault="00E03F66">
            <w:pPr>
              <w:spacing w:after="0" w:line="240" w:lineRule="auto"/>
              <w:jc w:val="center"/>
            </w:pPr>
            <w:r>
              <w:rPr>
                <w:color w:val="000000"/>
                <w:sz w:val="21"/>
              </w:rPr>
              <w:t>8</w:t>
            </w:r>
          </w:p>
        </w:tc>
        <w:tc>
          <w:tcPr>
            <w:tcW w:w="1640" w:type="dxa"/>
            <w:shd w:val="clear" w:color="auto" w:fill="FFFFFF"/>
            <w:tcMar>
              <w:top w:w="85" w:type="dxa"/>
              <w:left w:w="100" w:type="dxa"/>
              <w:bottom w:w="85" w:type="dxa"/>
              <w:right w:w="100" w:type="dxa"/>
            </w:tcMar>
            <w:vAlign w:val="center"/>
          </w:tcPr>
          <w:p w14:paraId="4D04F630" w14:textId="77777777" w:rsidR="00DB4CE1" w:rsidRDefault="00E03F66">
            <w:pPr>
              <w:spacing w:after="0" w:line="240" w:lineRule="auto"/>
              <w:jc w:val="center"/>
            </w:pPr>
            <w:r>
              <w:rPr>
                <w:color w:val="000000"/>
                <w:sz w:val="21"/>
              </w:rPr>
              <w:t>3</w:t>
            </w:r>
          </w:p>
        </w:tc>
        <w:tc>
          <w:tcPr>
            <w:tcW w:w="1680" w:type="dxa"/>
            <w:shd w:val="clear" w:color="auto" w:fill="FFFFFF"/>
            <w:tcMar>
              <w:top w:w="85" w:type="dxa"/>
              <w:left w:w="100" w:type="dxa"/>
              <w:bottom w:w="85" w:type="dxa"/>
              <w:right w:w="100" w:type="dxa"/>
            </w:tcMar>
            <w:vAlign w:val="center"/>
          </w:tcPr>
          <w:p w14:paraId="5265695A" w14:textId="77777777" w:rsidR="00DB4CE1" w:rsidRDefault="00E03F66">
            <w:pPr>
              <w:spacing w:after="0" w:line="240" w:lineRule="auto"/>
              <w:jc w:val="center"/>
            </w:pPr>
            <w:r>
              <w:rPr>
                <w:color w:val="000000"/>
                <w:sz w:val="21"/>
              </w:rPr>
              <w:t>1</w:t>
            </w:r>
          </w:p>
        </w:tc>
      </w:tr>
      <w:tr w:rsidR="00DB4CE1" w14:paraId="5E3BC055" w14:textId="77777777">
        <w:trPr>
          <w:cantSplit/>
          <w:jc w:val="center"/>
        </w:trPr>
        <w:tc>
          <w:tcPr>
            <w:tcW w:w="3380" w:type="dxa"/>
            <w:shd w:val="clear" w:color="auto" w:fill="F2F6F8"/>
            <w:tcMar>
              <w:top w:w="85" w:type="dxa"/>
              <w:left w:w="100" w:type="dxa"/>
              <w:bottom w:w="85" w:type="dxa"/>
              <w:right w:w="100" w:type="dxa"/>
            </w:tcMar>
            <w:vAlign w:val="center"/>
          </w:tcPr>
          <w:p w14:paraId="436D0A83" w14:textId="77777777" w:rsidR="00DB4CE1" w:rsidRDefault="00E03F66">
            <w:pPr>
              <w:spacing w:after="0" w:line="240" w:lineRule="auto"/>
              <w:jc w:val="left"/>
            </w:pPr>
            <w:r>
              <w:rPr>
                <w:color w:val="000000"/>
                <w:sz w:val="21"/>
              </w:rPr>
              <w:t>Raw retained total</w:t>
            </w:r>
          </w:p>
        </w:tc>
        <w:tc>
          <w:tcPr>
            <w:tcW w:w="1640" w:type="dxa"/>
            <w:shd w:val="clear" w:color="auto" w:fill="F2F6F8"/>
            <w:tcMar>
              <w:top w:w="85" w:type="dxa"/>
              <w:left w:w="100" w:type="dxa"/>
              <w:bottom w:w="85" w:type="dxa"/>
              <w:right w:w="100" w:type="dxa"/>
            </w:tcMar>
            <w:vAlign w:val="center"/>
          </w:tcPr>
          <w:p w14:paraId="49391230" w14:textId="77777777" w:rsidR="00DB4CE1" w:rsidRDefault="00E03F66">
            <w:pPr>
              <w:spacing w:after="0" w:line="240" w:lineRule="auto"/>
              <w:jc w:val="center"/>
            </w:pPr>
            <w:r>
              <w:rPr>
                <w:color w:val="000000"/>
                <w:sz w:val="21"/>
              </w:rPr>
              <w:t>32</w:t>
            </w:r>
          </w:p>
        </w:tc>
        <w:tc>
          <w:tcPr>
            <w:tcW w:w="1640" w:type="dxa"/>
            <w:shd w:val="clear" w:color="auto" w:fill="F2F6F8"/>
            <w:tcMar>
              <w:top w:w="85" w:type="dxa"/>
              <w:left w:w="100" w:type="dxa"/>
              <w:bottom w:w="85" w:type="dxa"/>
              <w:right w:w="100" w:type="dxa"/>
            </w:tcMar>
            <w:vAlign w:val="center"/>
          </w:tcPr>
          <w:p w14:paraId="2D7BAA08" w14:textId="77777777" w:rsidR="00DB4CE1" w:rsidRDefault="00E03F66">
            <w:pPr>
              <w:spacing w:after="0" w:line="240" w:lineRule="auto"/>
              <w:jc w:val="center"/>
            </w:pPr>
            <w:r>
              <w:rPr>
                <w:color w:val="000000"/>
                <w:sz w:val="21"/>
              </w:rPr>
              <w:t>5</w:t>
            </w:r>
          </w:p>
        </w:tc>
        <w:tc>
          <w:tcPr>
            <w:tcW w:w="1680" w:type="dxa"/>
            <w:shd w:val="clear" w:color="auto" w:fill="F2F6F8"/>
            <w:tcMar>
              <w:top w:w="85" w:type="dxa"/>
              <w:left w:w="100" w:type="dxa"/>
              <w:bottom w:w="85" w:type="dxa"/>
              <w:right w:w="100" w:type="dxa"/>
            </w:tcMar>
            <w:vAlign w:val="center"/>
          </w:tcPr>
          <w:p w14:paraId="7C36D2A3" w14:textId="77777777" w:rsidR="00DB4CE1" w:rsidRDefault="00E03F66">
            <w:pPr>
              <w:spacing w:after="0" w:line="240" w:lineRule="auto"/>
              <w:jc w:val="center"/>
            </w:pPr>
            <w:r>
              <w:rPr>
                <w:color w:val="000000"/>
                <w:sz w:val="21"/>
              </w:rPr>
              <w:t>1</w:t>
            </w:r>
          </w:p>
        </w:tc>
      </w:tr>
    </w:tbl>
    <w:p w14:paraId="354E664E" w14:textId="77777777" w:rsidR="00DB4CE1" w:rsidRDefault="00E03F66">
      <w:pPr>
        <w:pStyle w:val="Descripcin"/>
        <w:spacing w:before="80" w:after="160"/>
      </w:pPr>
      <w:r>
        <w:t xml:space="preserve">Table 3. Read-only classification aggregates, 20 October 2026. Counts are records. [E11, E16, </w:t>
      </w:r>
      <w:r>
        <w:t>E20]</w:t>
      </w:r>
    </w:p>
    <w:p w14:paraId="1BB7879E" w14:textId="77777777" w:rsidR="00DB4CE1" w:rsidRDefault="00E03F66">
      <w:pPr>
        <w:spacing w:after="140" w:line="276" w:lineRule="auto"/>
      </w:pPr>
      <w:r>
        <w:t>The two company-domain matches flag possible internal affiliation; they do not certify ownership, activity or eligibility. The eight other current accounts may still include QA, internal, duplicate or authentic external accounts. The one new in-period</w:t>
      </w:r>
      <w:r>
        <w:t xml:space="preserve"> account is unclassified. No verified external-user total can be derived. Evenor-Tech must reconcile account ownership and purpose against its internal/test register and independently documented eligible users. [E12, E20]</w:t>
      </w:r>
    </w:p>
    <w:p w14:paraId="6ADA8499" w14:textId="77777777" w:rsidR="00DB4CE1" w:rsidRDefault="00E03F66">
      <w:pPr>
        <w:pStyle w:val="Ttulo4"/>
        <w:spacing w:before="180" w:after="160"/>
      </w:pPr>
      <w:r>
        <w:lastRenderedPageBreak/>
        <w:t xml:space="preserve">4.3 Historical Analytics and Real </w:t>
      </w:r>
      <w:r>
        <w:t>Use</w:t>
      </w:r>
    </w:p>
    <w:p w14:paraId="5C1DD75E" w14:textId="77777777" w:rsidR="00DB4CE1" w:rsidRDefault="00E03F66">
      <w:pPr>
        <w:spacing w:after="140" w:line="276" w:lineRule="auto"/>
      </w:pPr>
      <w:r>
        <w:t>The retained database contains two anonymous calculation records on 31 August. They lack a user/event/session link and a reliable internal-versus-external classification. The latest lastLogin values cannot reconstruct activity over six months. Saved re</w:t>
      </w:r>
      <w:r>
        <w:t>cipe and menu counts of zero describe retained dated records, not zero real use. Current operational data also do not establish historical completeness. [E11, E12]</w:t>
      </w:r>
    </w:p>
    <w:p w14:paraId="7FDC1FAA" w14:textId="77777777" w:rsidR="00DB4CE1" w:rsidRDefault="00E03F66">
      <w:pPr>
        <w:spacing w:after="140" w:line="276" w:lineRule="auto"/>
      </w:pPr>
      <w:r>
        <w:t xml:space="preserve">PostHog instrumentation was committed on 31 August, with consent controls. This proves code </w:t>
      </w:r>
      <w:r>
        <w:t>existed at period end, not when it was deployed, that ingestion succeeded, or that earlier activity was captured. No local historical export, configured read credential or connected browser session was available. Historical data may be recoverable from Eve</w:t>
      </w:r>
      <w:r>
        <w:t>nor-Tech’s PostHog account if retained; that possibility has not been verified. [E10, E12, E21]</w:t>
      </w:r>
    </w:p>
    <w:p w14:paraId="3AB7B9E4" w14:textId="77777777" w:rsidR="00DB4CE1" w:rsidRDefault="00E03F66">
      <w:pPr>
        <w:spacing w:after="140" w:line="276" w:lineRule="auto"/>
      </w:pPr>
      <w:r>
        <w:t>The analytics owner should check the correct project and cloud, retained-from date, earliest production events and deployment/consent coverage. Export the retai</w:t>
      </w:r>
      <w:r>
        <w:t>ned period with event timestamp, UUID/name, distinct/person identity mapping, $session_id, environment/source and authentication state. Preserve the extraction settings and resolve identity merges, retries, internal traffic and QA exclusions. Count users o</w:t>
      </w:r>
      <w:r>
        <w:t>nly under an agreed identity definition and sessions only with a valid session basis. Anonymous browser identifiers cannot be certified as unique human beings. [E12, E21]</w:t>
      </w:r>
    </w:p>
    <w:p w14:paraId="3563207E" w14:textId="77777777" w:rsidR="00DB4CE1" w:rsidRDefault="00E03F66">
      <w:pPr>
        <w:spacing w:after="140" w:line="276" w:lineRule="auto"/>
      </w:pPr>
      <w:r>
        <w:t>The interval is 2026-02-28 23:00 UTC inclusive to 2026-08-31 22:00 UTC exclusive, cor</w:t>
      </w:r>
      <w:r>
        <w:t>responding to March–August in Europe/Madrid. If only the final day is covered, report that restricted coverage rather than a full-period total. Data that were never captured or have expired cannot be recreated from account counts. Do not change capture set</w:t>
      </w:r>
      <w:r>
        <w:t>tings, create export jobs, or simulate activity to fill the historical gap. [E11, E21]</w:t>
      </w:r>
    </w:p>
    <w:p w14:paraId="36E2523F" w14:textId="77777777" w:rsidR="00DB4CE1" w:rsidRDefault="00E03F66">
      <w:pPr>
        <w:pStyle w:val="Ttulo3"/>
        <w:pageBreakBefore/>
        <w:spacing w:before="0" w:after="160"/>
      </w:pPr>
      <w:bookmarkStart w:id="4" w:name="_Toc243394624"/>
      <w:r>
        <w:lastRenderedPageBreak/>
        <w:t>5 Delivery Routes and auto_accept</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2080"/>
        <w:gridCol w:w="3860"/>
      </w:tblGrid>
      <w:tr w:rsidR="00DB4CE1" w14:paraId="3F941BC0" w14:textId="77777777">
        <w:trPr>
          <w:cantSplit/>
          <w:tblHeader/>
          <w:jc w:val="center"/>
        </w:trPr>
        <w:tc>
          <w:tcPr>
            <w:tcW w:w="2400" w:type="dxa"/>
            <w:shd w:val="clear" w:color="auto" w:fill="156082"/>
            <w:tcMar>
              <w:top w:w="85" w:type="dxa"/>
              <w:left w:w="100" w:type="dxa"/>
              <w:bottom w:w="85" w:type="dxa"/>
              <w:right w:w="100" w:type="dxa"/>
            </w:tcMar>
            <w:vAlign w:val="center"/>
          </w:tcPr>
          <w:p w14:paraId="237A17E0" w14:textId="77777777" w:rsidR="00DB4CE1" w:rsidRDefault="00E03F66">
            <w:pPr>
              <w:spacing w:after="0" w:line="240" w:lineRule="auto"/>
              <w:jc w:val="left"/>
            </w:pPr>
            <w:r>
              <w:rPr>
                <w:b/>
                <w:color w:val="FFFFFF"/>
                <w:sz w:val="21"/>
              </w:rPr>
              <w:t>Category</w:t>
            </w:r>
          </w:p>
        </w:tc>
        <w:tc>
          <w:tcPr>
            <w:tcW w:w="2080" w:type="dxa"/>
            <w:shd w:val="clear" w:color="auto" w:fill="156082"/>
            <w:tcMar>
              <w:top w:w="85" w:type="dxa"/>
              <w:left w:w="100" w:type="dxa"/>
              <w:bottom w:w="85" w:type="dxa"/>
              <w:right w:w="100" w:type="dxa"/>
            </w:tcMar>
            <w:vAlign w:val="center"/>
          </w:tcPr>
          <w:p w14:paraId="1DF2AFD0" w14:textId="77777777" w:rsidR="00DB4CE1" w:rsidRDefault="00E03F66">
            <w:pPr>
              <w:spacing w:after="0" w:line="240" w:lineRule="auto"/>
              <w:jc w:val="left"/>
            </w:pPr>
            <w:r>
              <w:rPr>
                <w:b/>
                <w:color w:val="FFFFFF"/>
                <w:sz w:val="21"/>
              </w:rPr>
              <w:t>Confirmed codes</w:t>
            </w:r>
          </w:p>
        </w:tc>
        <w:tc>
          <w:tcPr>
            <w:tcW w:w="3860" w:type="dxa"/>
            <w:shd w:val="clear" w:color="auto" w:fill="156082"/>
            <w:tcMar>
              <w:top w:w="85" w:type="dxa"/>
              <w:left w:w="100" w:type="dxa"/>
              <w:bottom w:w="85" w:type="dxa"/>
              <w:right w:w="100" w:type="dxa"/>
            </w:tcMar>
            <w:vAlign w:val="center"/>
          </w:tcPr>
          <w:p w14:paraId="024F8453" w14:textId="77777777" w:rsidR="00DB4CE1" w:rsidRDefault="00E03F66">
            <w:pPr>
              <w:spacing w:after="0" w:line="240" w:lineRule="auto"/>
              <w:jc w:val="left"/>
            </w:pPr>
            <w:r>
              <w:rPr>
                <w:b/>
                <w:color w:val="FFFFFF"/>
                <w:sz w:val="21"/>
              </w:rPr>
              <w:t>Current treatment</w:t>
            </w:r>
          </w:p>
        </w:tc>
      </w:tr>
      <w:tr w:rsidR="00DB4CE1" w14:paraId="255CA1DF" w14:textId="77777777">
        <w:trPr>
          <w:cantSplit/>
          <w:jc w:val="center"/>
        </w:trPr>
        <w:tc>
          <w:tcPr>
            <w:tcW w:w="2400" w:type="dxa"/>
            <w:shd w:val="clear" w:color="auto" w:fill="FFFFFF"/>
            <w:tcMar>
              <w:top w:w="85" w:type="dxa"/>
              <w:left w:w="100" w:type="dxa"/>
              <w:bottom w:w="85" w:type="dxa"/>
              <w:right w:w="100" w:type="dxa"/>
            </w:tcMar>
            <w:vAlign w:val="center"/>
          </w:tcPr>
          <w:p w14:paraId="2FF9660D" w14:textId="77777777" w:rsidR="00DB4CE1" w:rsidRDefault="00E03F66">
            <w:pPr>
              <w:spacing w:after="0" w:line="240" w:lineRule="auto"/>
              <w:jc w:val="left"/>
            </w:pPr>
            <w:r>
              <w:rPr>
                <w:color w:val="000000"/>
                <w:sz w:val="21"/>
              </w:rPr>
              <w:t>Confirmed DMS</w:t>
            </w:r>
          </w:p>
        </w:tc>
        <w:tc>
          <w:tcPr>
            <w:tcW w:w="2080" w:type="dxa"/>
            <w:shd w:val="clear" w:color="auto" w:fill="FFFFFF"/>
            <w:tcMar>
              <w:top w:w="85" w:type="dxa"/>
              <w:left w:w="100" w:type="dxa"/>
              <w:bottom w:w="85" w:type="dxa"/>
              <w:right w:w="100" w:type="dxa"/>
            </w:tcMar>
            <w:vAlign w:val="center"/>
          </w:tcPr>
          <w:p w14:paraId="0DCCCE47" w14:textId="77777777" w:rsidR="00DB4CE1" w:rsidRDefault="00E03F66">
            <w:pPr>
              <w:spacing w:after="0" w:line="240" w:lineRule="auto"/>
              <w:jc w:val="left"/>
            </w:pPr>
            <w:r>
              <w:rPr>
                <w:color w:val="000000"/>
                <w:sz w:val="21"/>
              </w:rPr>
              <w:t>None evidenced</w:t>
            </w:r>
          </w:p>
        </w:tc>
        <w:tc>
          <w:tcPr>
            <w:tcW w:w="3860" w:type="dxa"/>
            <w:shd w:val="clear" w:color="auto" w:fill="FFFFFF"/>
            <w:tcMar>
              <w:top w:w="85" w:type="dxa"/>
              <w:left w:w="100" w:type="dxa"/>
              <w:bottom w:w="85" w:type="dxa"/>
              <w:right w:w="100" w:type="dxa"/>
            </w:tcMar>
            <w:vAlign w:val="center"/>
          </w:tcPr>
          <w:p w14:paraId="05122D33" w14:textId="77777777" w:rsidR="00DB4CE1" w:rsidRDefault="00E03F66">
            <w:pPr>
              <w:spacing w:after="0" w:line="240" w:lineRule="auto"/>
              <w:jc w:val="left"/>
            </w:pPr>
            <w:r>
              <w:rPr>
                <w:color w:val="000000"/>
                <w:sz w:val="21"/>
              </w:rPr>
              <w:t xml:space="preserve">No per-code DMS assignment in the transcript or </w:t>
            </w:r>
            <w:r>
              <w:rPr>
                <w:color w:val="000000"/>
                <w:sz w:val="21"/>
              </w:rPr>
              <w:t>official workbook.</w:t>
            </w:r>
          </w:p>
        </w:tc>
      </w:tr>
      <w:tr w:rsidR="00DB4CE1" w14:paraId="69F126D8" w14:textId="77777777">
        <w:trPr>
          <w:cantSplit/>
          <w:jc w:val="center"/>
        </w:trPr>
        <w:tc>
          <w:tcPr>
            <w:tcW w:w="2400" w:type="dxa"/>
            <w:shd w:val="clear" w:color="auto" w:fill="F2F6F8"/>
            <w:tcMar>
              <w:top w:w="85" w:type="dxa"/>
              <w:left w:w="100" w:type="dxa"/>
              <w:bottom w:w="85" w:type="dxa"/>
              <w:right w:w="100" w:type="dxa"/>
            </w:tcMar>
            <w:vAlign w:val="center"/>
          </w:tcPr>
          <w:p w14:paraId="6DBA9F28" w14:textId="77777777" w:rsidR="00DB4CE1" w:rsidRDefault="00E03F66">
            <w:pPr>
              <w:spacing w:after="0" w:line="240" w:lineRule="auto"/>
              <w:jc w:val="left"/>
            </w:pPr>
            <w:r>
              <w:rPr>
                <w:color w:val="000000"/>
                <w:sz w:val="21"/>
              </w:rPr>
              <w:t>Confirmed API or AMT</w:t>
            </w:r>
          </w:p>
        </w:tc>
        <w:tc>
          <w:tcPr>
            <w:tcW w:w="2080" w:type="dxa"/>
            <w:shd w:val="clear" w:color="auto" w:fill="F2F6F8"/>
            <w:tcMar>
              <w:top w:w="85" w:type="dxa"/>
              <w:left w:w="100" w:type="dxa"/>
              <w:bottom w:w="85" w:type="dxa"/>
              <w:right w:w="100" w:type="dxa"/>
            </w:tcMar>
            <w:vAlign w:val="center"/>
          </w:tcPr>
          <w:p w14:paraId="2B78B5BF" w14:textId="77777777" w:rsidR="00DB4CE1" w:rsidRDefault="00E03F66">
            <w:pPr>
              <w:spacing w:after="0" w:line="240" w:lineRule="auto"/>
              <w:jc w:val="left"/>
            </w:pPr>
            <w:r>
              <w:rPr>
                <w:color w:val="000000"/>
                <w:sz w:val="21"/>
              </w:rPr>
              <w:t>None evidenced</w:t>
            </w:r>
          </w:p>
        </w:tc>
        <w:tc>
          <w:tcPr>
            <w:tcW w:w="3860" w:type="dxa"/>
            <w:shd w:val="clear" w:color="auto" w:fill="F2F6F8"/>
            <w:tcMar>
              <w:top w:w="85" w:type="dxa"/>
              <w:left w:w="100" w:type="dxa"/>
              <w:bottom w:w="85" w:type="dxa"/>
              <w:right w:w="100" w:type="dxa"/>
            </w:tcMar>
            <w:vAlign w:val="center"/>
          </w:tcPr>
          <w:p w14:paraId="50E12FBC" w14:textId="77777777" w:rsidR="00DB4CE1" w:rsidRDefault="00E03F66">
            <w:pPr>
              <w:spacing w:after="0" w:line="240" w:lineRule="auto"/>
              <w:jc w:val="left"/>
            </w:pPr>
            <w:r>
              <w:rPr>
                <w:color w:val="000000"/>
                <w:sz w:val="21"/>
              </w:rPr>
              <w:t>No named code, schema or completed receiver integration confirmed.</w:t>
            </w:r>
          </w:p>
        </w:tc>
      </w:tr>
      <w:tr w:rsidR="00DB4CE1" w14:paraId="5A20DDCC" w14:textId="77777777">
        <w:trPr>
          <w:cantSplit/>
          <w:jc w:val="center"/>
        </w:trPr>
        <w:tc>
          <w:tcPr>
            <w:tcW w:w="2400" w:type="dxa"/>
            <w:shd w:val="clear" w:color="auto" w:fill="FFFFFF"/>
            <w:tcMar>
              <w:top w:w="85" w:type="dxa"/>
              <w:left w:w="100" w:type="dxa"/>
              <w:bottom w:w="85" w:type="dxa"/>
              <w:right w:w="100" w:type="dxa"/>
            </w:tcMar>
            <w:vAlign w:val="center"/>
          </w:tcPr>
          <w:p w14:paraId="636C2DB8" w14:textId="77777777" w:rsidR="00DB4CE1" w:rsidRDefault="00E03F66">
            <w:pPr>
              <w:spacing w:after="0" w:line="240" w:lineRule="auto"/>
              <w:jc w:val="left"/>
            </w:pPr>
            <w:r>
              <w:rPr>
                <w:color w:val="000000"/>
                <w:sz w:val="21"/>
              </w:rPr>
              <w:t>Mechanism not agreed</w:t>
            </w:r>
          </w:p>
        </w:tc>
        <w:tc>
          <w:tcPr>
            <w:tcW w:w="2080" w:type="dxa"/>
            <w:shd w:val="clear" w:color="auto" w:fill="FFFFFF"/>
            <w:tcMar>
              <w:top w:w="85" w:type="dxa"/>
              <w:left w:w="100" w:type="dxa"/>
              <w:bottom w:w="85" w:type="dxa"/>
              <w:right w:w="100" w:type="dxa"/>
            </w:tcMar>
            <w:vAlign w:val="center"/>
          </w:tcPr>
          <w:p w14:paraId="4822D258" w14:textId="77777777" w:rsidR="00DB4CE1" w:rsidRDefault="00E03F66">
            <w:pPr>
              <w:spacing w:after="0" w:line="240" w:lineRule="auto"/>
              <w:jc w:val="left"/>
            </w:pPr>
            <w:r>
              <w:rPr>
                <w:color w:val="000000"/>
                <w:sz w:val="21"/>
              </w:rPr>
              <w:t>All nine codes</w:t>
            </w:r>
          </w:p>
        </w:tc>
        <w:tc>
          <w:tcPr>
            <w:tcW w:w="3860" w:type="dxa"/>
            <w:shd w:val="clear" w:color="auto" w:fill="FFFFFF"/>
            <w:tcMar>
              <w:top w:w="85" w:type="dxa"/>
              <w:left w:w="100" w:type="dxa"/>
              <w:bottom w:w="85" w:type="dxa"/>
              <w:right w:w="100" w:type="dxa"/>
            </w:tcMar>
            <w:vAlign w:val="center"/>
          </w:tcPr>
          <w:p w14:paraId="7AEC6663" w14:textId="77777777" w:rsidR="00DB4CE1" w:rsidRDefault="00E03F66">
            <w:pPr>
              <w:spacing w:after="0" w:line="240" w:lineRule="auto"/>
              <w:jc w:val="left"/>
            </w:pPr>
            <w:r>
              <w:rPr>
                <w:color w:val="000000"/>
                <w:sz w:val="21"/>
              </w:rPr>
              <w:t>R8:R16 blank. No default FALSE is inferred for an unassigned row.</w:t>
            </w:r>
          </w:p>
        </w:tc>
      </w:tr>
    </w:tbl>
    <w:p w14:paraId="39E9C270" w14:textId="77777777" w:rsidR="00DB4CE1" w:rsidRDefault="00E03F66">
      <w:pPr>
        <w:pStyle w:val="Descripcin"/>
        <w:spacing w:before="80" w:after="160"/>
      </w:pPr>
      <w:r>
        <w:t xml:space="preserve">Table 4. </w:t>
      </w:r>
      <w:r>
        <w:t>Evidence-based delivery classification. [E01, E15]</w:t>
      </w:r>
    </w:p>
    <w:p w14:paraId="57D508AB" w14:textId="77777777" w:rsidR="00DB4CE1" w:rsidRDefault="00E03F66">
      <w:pPr>
        <w:spacing w:after="140" w:line="276" w:lineRule="auto"/>
      </w:pPr>
      <w:r>
        <w:t>Lasith’s DMS instruction is clear and conditional: once a code is designated for DMS, set its auto_accept to Boolean TRUE. His explanation that the value registers automatically is an intake rule, not scie</w:t>
      </w:r>
      <w:r>
        <w:t>ntific validation of the measurement. The first review’s all-DMS preparation exceeded what the evidence supported, even though it was labelled provisional. That setting is withdrawn in this copy. [E15]</w:t>
      </w:r>
    </w:p>
    <w:p w14:paraId="22BA7AFD" w14:textId="77777777" w:rsidR="00DB4CE1" w:rsidRDefault="00E03F66">
      <w:pPr>
        <w:spacing w:after="140" w:line="276" w:lineRule="auto"/>
      </w:pPr>
      <w:r>
        <w:t>INNOV_003 may be proposed internally as an API candida</w:t>
      </w:r>
      <w:r>
        <w:t>te because instrumentation exists. This is not a confirmed route or a ready feed. INNOV_004 likewise cannot be treated as an operational feed without valid paired data. Neither candidate status changes the blank configuration. The existing ANFORA API and i</w:t>
      </w:r>
      <w:r>
        <w:t>ts login are separate from RURACTIVE’s receiving API. [E10, E12, E15]</w:t>
      </w:r>
    </w:p>
    <w:p w14:paraId="670D00D8" w14:textId="77777777" w:rsidR="00DB4CE1" w:rsidRDefault="00E03F66">
      <w:pPr>
        <w:spacing w:after="140" w:line="276" w:lineRule="auto"/>
      </w:pPr>
      <w:r>
        <w:t>Evenor-Tech should propose a route against each official code and ask Lasith to confirm it. Obtain the exact meaning of AMT/API/DMS, the value required for non-DMS auto_accept, the permi</w:t>
      </w:r>
      <w:r>
        <w:t>tted missing-value representation and how annual, seasonal and quarterly observations are submitted during the six-month review. Confirm receiver field identifiers, units, observation periods, endpoint/schema, token procedure and receipt criteria. No produ</w:t>
      </w:r>
      <w:r>
        <w:t>ction configuration, access credentials or data submission was changed or tested during this review.</w:t>
      </w:r>
    </w:p>
    <w:p w14:paraId="78E63C80" w14:textId="77777777" w:rsidR="00DB4CE1" w:rsidRDefault="00E03F66">
      <w:pPr>
        <w:pStyle w:val="Ttulo3"/>
        <w:pageBreakBefore/>
        <w:spacing w:before="0" w:after="160"/>
      </w:pPr>
      <w:bookmarkStart w:id="5" w:name="_Toc243394625"/>
      <w:r>
        <w:lastRenderedPageBreak/>
        <w:t>6 Verified Context and Later Developments</w:t>
      </w:r>
      <w:bookmarkEnd w:id="5"/>
    </w:p>
    <w:p w14:paraId="33ABF921" w14:textId="77777777" w:rsidR="00DB4CE1" w:rsidRDefault="00E03F66">
      <w:pPr>
        <w:spacing w:after="140" w:line="276" w:lineRule="auto"/>
      </w:pPr>
      <w:r>
        <w:t>The first review’s technical findings remain valid: the application contains public catalogue and calculation rou</w:t>
      </w:r>
      <w:r>
        <w:t>tes, protected saved recipes and weekly menus, PDF/CSV/JSON export utilities and consent-gated analytics. A React/Vite frontend communicates with a Node.js/Express backend and MongoDB. Public GET availability checks returned HTTP 200 on 20 October. These f</w:t>
      </w:r>
      <w:r>
        <w:t>acts demonstrate implementation and availability within the stated limits, not eligible participation or measured behavioural impact. [E10–E12, E18]</w:t>
      </w:r>
    </w:p>
    <w:p w14:paraId="67813FED" w14:textId="77777777" w:rsidR="00DB4CE1" w:rsidRDefault="00E03F66">
      <w:pPr>
        <w:spacing w:after="140" w:line="276" w:lineRule="auto"/>
      </w:pPr>
      <w:r>
        <w:t>Dated changes include frontend/backend robustness work on 10 April, recipe content on 15 June, analytics an</w:t>
      </w:r>
      <w:r>
        <w:t xml:space="preserve">d anonymous calculation persistence on 31 August, and calculator consistency/regression work on 4 October. No measured latency improvement or exact production deployment history is established. Preloaded AI-associated catalogue values remain distinct from </w:t>
      </w:r>
      <w:r>
        <w:t>live inference or a validated recommendation engine. [E10–E12]</w:t>
      </w:r>
    </w:p>
    <w:p w14:paraId="647E583D" w14:textId="77777777" w:rsidR="00DB4CE1" w:rsidRDefault="00E03F66">
      <w:pPr>
        <w:spacing w:after="140" w:line="276" w:lineRule="auto"/>
      </w:pPr>
      <w:r>
        <w:t xml:space="preserve">The 3 September educator webinar is documented as delivered. The 23 September public webinar is evidenced as advertised, with delivery and complete attendance still unverified. The 5 </w:t>
      </w:r>
      <w:r>
        <w:t>October ADA ITS session involved approximately 50 students and demonstrated the calculator, products, recipes, weekly menus and QR access, as retained in the earlier event report. These September/October activities are excluded from March–August results. [</w:t>
      </w:r>
      <w:r>
        <w:t>E08, E14, E15]</w:t>
      </w:r>
    </w:p>
    <w:p w14:paraId="5E0C00A3" w14:textId="77777777" w:rsidR="00DB4CE1" w:rsidRDefault="00E03F66">
      <w:pPr>
        <w:spacing w:after="140" w:line="276" w:lineRule="auto"/>
      </w:pPr>
      <w:r>
        <w:t>The current snapshot contains 32 account records, 60 calculations, 28 saved recipes and three menus. The identified synthetic dataset matches 22, 40, 22 and two respectively. Residual records require further classification. None of these cur</w:t>
      </w:r>
      <w:r>
        <w:t>rent totals is retroactively entered as an in-period official result. Additional Lucena/VERA coordination remains a plan or organiser statement unless primary delivery evidence is supplied. [E11, E14–E16, E20]</w:t>
      </w:r>
    </w:p>
    <w:p w14:paraId="0D815D50" w14:textId="77777777" w:rsidR="00DB4CE1" w:rsidRDefault="00E03F66">
      <w:pPr>
        <w:pStyle w:val="Ttulo3"/>
        <w:pageBreakBefore/>
        <w:spacing w:before="0" w:after="160"/>
      </w:pPr>
      <w:bookmarkStart w:id="6" w:name="_Toc243394626"/>
      <w:r>
        <w:lastRenderedPageBreak/>
        <w:t>7 Responsibilities and Release Decision</w:t>
      </w:r>
      <w:bookmarkEnd w:id="6"/>
    </w:p>
    <w:p w14:paraId="36E56F59" w14:textId="77777777" w:rsidR="00DB4CE1" w:rsidRDefault="00E03F66">
      <w:pPr>
        <w:spacing w:after="140" w:line="276" w:lineRule="auto"/>
      </w:pPr>
      <w:r>
        <w:t xml:space="preserve">Ready </w:t>
      </w:r>
      <w:r>
        <w:t>to communicate now: the verified transcript instructions, the application/code findings and the dated auxiliary database aggregates, explicitly labelled with their units and limitations. Ready as official numerical indicator values: none of the nine. The p</w:t>
      </w:r>
      <w:r>
        <w:t>eriod values therefore remain unavailable. INNOV_003 has verified supporting records but an unverified official users/sessions result. [E01, E11, E15, E20]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0"/>
        <w:gridCol w:w="5760"/>
      </w:tblGrid>
      <w:tr w:rsidR="00DB4CE1" w14:paraId="13CFCFB9" w14:textId="77777777">
        <w:trPr>
          <w:cantSplit/>
          <w:tblHeader/>
          <w:jc w:val="center"/>
        </w:trPr>
        <w:tc>
          <w:tcPr>
            <w:tcW w:w="2580" w:type="dxa"/>
            <w:shd w:val="clear" w:color="auto" w:fill="156082"/>
            <w:tcMar>
              <w:top w:w="85" w:type="dxa"/>
              <w:left w:w="100" w:type="dxa"/>
              <w:bottom w:w="85" w:type="dxa"/>
              <w:right w:w="100" w:type="dxa"/>
            </w:tcMar>
            <w:vAlign w:val="center"/>
          </w:tcPr>
          <w:p w14:paraId="1AED8665" w14:textId="77777777" w:rsidR="00DB4CE1" w:rsidRDefault="00E03F66">
            <w:pPr>
              <w:spacing w:after="0" w:line="240" w:lineRule="auto"/>
              <w:jc w:val="left"/>
            </w:pPr>
            <w:r>
              <w:rPr>
                <w:b/>
                <w:color w:val="FFFFFF"/>
                <w:sz w:val="21"/>
              </w:rPr>
              <w:t>Responsible source</w:t>
            </w:r>
          </w:p>
        </w:tc>
        <w:tc>
          <w:tcPr>
            <w:tcW w:w="5760" w:type="dxa"/>
            <w:shd w:val="clear" w:color="auto" w:fill="156082"/>
            <w:tcMar>
              <w:top w:w="85" w:type="dxa"/>
              <w:left w:w="100" w:type="dxa"/>
              <w:bottom w:w="85" w:type="dxa"/>
              <w:right w:w="100" w:type="dxa"/>
            </w:tcMar>
            <w:vAlign w:val="center"/>
          </w:tcPr>
          <w:p w14:paraId="25499B19" w14:textId="77777777" w:rsidR="00DB4CE1" w:rsidRDefault="00E03F66">
            <w:pPr>
              <w:spacing w:after="0" w:line="240" w:lineRule="auto"/>
              <w:jc w:val="left"/>
            </w:pPr>
            <w:r>
              <w:rPr>
                <w:b/>
                <w:color w:val="FFFFFF"/>
                <w:sz w:val="21"/>
              </w:rPr>
              <w:t>Evidence or decision required</w:t>
            </w:r>
          </w:p>
        </w:tc>
      </w:tr>
      <w:tr w:rsidR="00DB4CE1" w14:paraId="34A7F1B8" w14:textId="77777777">
        <w:trPr>
          <w:cantSplit/>
          <w:jc w:val="center"/>
        </w:trPr>
        <w:tc>
          <w:tcPr>
            <w:tcW w:w="2580" w:type="dxa"/>
            <w:shd w:val="clear" w:color="auto" w:fill="FFFFFF"/>
            <w:tcMar>
              <w:top w:w="85" w:type="dxa"/>
              <w:left w:w="100" w:type="dxa"/>
              <w:bottom w:w="85" w:type="dxa"/>
              <w:right w:w="100" w:type="dxa"/>
            </w:tcMar>
            <w:vAlign w:val="center"/>
          </w:tcPr>
          <w:p w14:paraId="2660A42E" w14:textId="77777777" w:rsidR="00DB4CE1" w:rsidRDefault="00E03F66">
            <w:pPr>
              <w:spacing w:after="0" w:line="240" w:lineRule="auto"/>
              <w:jc w:val="left"/>
            </w:pPr>
            <w:r>
              <w:rPr>
                <w:color w:val="000000"/>
                <w:sz w:val="21"/>
              </w:rPr>
              <w:t>Evenor-Tech and activity organisers</w:t>
            </w:r>
          </w:p>
        </w:tc>
        <w:tc>
          <w:tcPr>
            <w:tcW w:w="5760" w:type="dxa"/>
            <w:shd w:val="clear" w:color="auto" w:fill="FFFFFF"/>
            <w:tcMar>
              <w:top w:w="85" w:type="dxa"/>
              <w:left w:w="100" w:type="dxa"/>
              <w:bottom w:w="85" w:type="dxa"/>
              <w:right w:w="100" w:type="dxa"/>
            </w:tcMar>
            <w:vAlign w:val="center"/>
          </w:tcPr>
          <w:p w14:paraId="6487467C" w14:textId="77777777" w:rsidR="00DB4CE1" w:rsidRDefault="00E03F66">
            <w:pPr>
              <w:spacing w:after="0" w:line="240" w:lineRule="auto"/>
              <w:jc w:val="left"/>
            </w:pPr>
            <w:r>
              <w:rPr>
                <w:color w:val="000000"/>
                <w:sz w:val="21"/>
              </w:rPr>
              <w:t>Meaning/source of 48; dated attendance/completion registers; account ownership and internal/QA classification; PostHog historical export and coverage; numerical survey and consented demographic data.</w:t>
            </w:r>
          </w:p>
        </w:tc>
      </w:tr>
      <w:tr w:rsidR="00DB4CE1" w14:paraId="49FDFC67" w14:textId="77777777">
        <w:trPr>
          <w:cantSplit/>
          <w:jc w:val="center"/>
        </w:trPr>
        <w:tc>
          <w:tcPr>
            <w:tcW w:w="2580" w:type="dxa"/>
            <w:shd w:val="clear" w:color="auto" w:fill="F2F6F8"/>
            <w:tcMar>
              <w:top w:w="85" w:type="dxa"/>
              <w:left w:w="100" w:type="dxa"/>
              <w:bottom w:w="85" w:type="dxa"/>
              <w:right w:w="100" w:type="dxa"/>
            </w:tcMar>
            <w:vAlign w:val="center"/>
          </w:tcPr>
          <w:p w14:paraId="29F0DE30" w14:textId="77777777" w:rsidR="00DB4CE1" w:rsidRDefault="00E03F66">
            <w:pPr>
              <w:spacing w:after="0" w:line="240" w:lineRule="auto"/>
              <w:jc w:val="left"/>
            </w:pPr>
            <w:r>
              <w:rPr>
                <w:color w:val="000000"/>
                <w:sz w:val="21"/>
              </w:rPr>
              <w:t>Evenor-Tech HR and farm partners</w:t>
            </w:r>
          </w:p>
        </w:tc>
        <w:tc>
          <w:tcPr>
            <w:tcW w:w="5760" w:type="dxa"/>
            <w:shd w:val="clear" w:color="auto" w:fill="F2F6F8"/>
            <w:tcMar>
              <w:top w:w="85" w:type="dxa"/>
              <w:left w:w="100" w:type="dxa"/>
              <w:bottom w:w="85" w:type="dxa"/>
              <w:right w:w="100" w:type="dxa"/>
            </w:tcMar>
            <w:vAlign w:val="center"/>
          </w:tcPr>
          <w:p w14:paraId="18888FB6" w14:textId="77777777" w:rsidR="00DB4CE1" w:rsidRDefault="00E03F66">
            <w:pPr>
              <w:spacing w:after="0" w:line="240" w:lineRule="auto"/>
              <w:jc w:val="left"/>
            </w:pPr>
            <w:r>
              <w:rPr>
                <w:color w:val="000000"/>
                <w:sz w:val="21"/>
              </w:rPr>
              <w:t>New-employment hours/FTE and attribution; irrigation electricity, area and matched seasons. Availability with these owners is unconfirmed.</w:t>
            </w:r>
          </w:p>
        </w:tc>
      </w:tr>
      <w:tr w:rsidR="00DB4CE1" w14:paraId="0227B55B" w14:textId="77777777">
        <w:trPr>
          <w:cantSplit/>
          <w:jc w:val="center"/>
        </w:trPr>
        <w:tc>
          <w:tcPr>
            <w:tcW w:w="2580" w:type="dxa"/>
            <w:shd w:val="clear" w:color="auto" w:fill="FFFFFF"/>
            <w:tcMar>
              <w:top w:w="85" w:type="dxa"/>
              <w:left w:w="100" w:type="dxa"/>
              <w:bottom w:w="85" w:type="dxa"/>
              <w:right w:w="100" w:type="dxa"/>
            </w:tcMar>
            <w:vAlign w:val="center"/>
          </w:tcPr>
          <w:p w14:paraId="2FC8D99B" w14:textId="77777777" w:rsidR="00DB4CE1" w:rsidRDefault="00E03F66">
            <w:pPr>
              <w:spacing w:after="0" w:line="240" w:lineRule="auto"/>
              <w:jc w:val="left"/>
            </w:pPr>
            <w:r>
              <w:rPr>
                <w:color w:val="000000"/>
                <w:sz w:val="21"/>
              </w:rPr>
              <w:t>Evenor-Tech and institutional data owners</w:t>
            </w:r>
          </w:p>
        </w:tc>
        <w:tc>
          <w:tcPr>
            <w:tcW w:w="5760" w:type="dxa"/>
            <w:shd w:val="clear" w:color="auto" w:fill="FFFFFF"/>
            <w:tcMar>
              <w:top w:w="85" w:type="dxa"/>
              <w:left w:w="100" w:type="dxa"/>
              <w:bottom w:w="85" w:type="dxa"/>
              <w:right w:w="100" w:type="dxa"/>
            </w:tcMar>
            <w:vAlign w:val="center"/>
          </w:tcPr>
          <w:p w14:paraId="4750CF26" w14:textId="77777777" w:rsidR="00DB4CE1" w:rsidRDefault="00E03F66">
            <w:pPr>
              <w:spacing w:after="0" w:line="240" w:lineRule="auto"/>
              <w:jc w:val="left"/>
            </w:pPr>
            <w:r>
              <w:rPr>
                <w:color w:val="000000"/>
                <w:sz w:val="21"/>
              </w:rPr>
              <w:t xml:space="preserve">Valid paired footprint scenarios; matched territorial water-index sources </w:t>
            </w:r>
            <w:r>
              <w:rPr>
                <w:color w:val="000000"/>
                <w:sz w:val="21"/>
              </w:rPr>
              <w:t>and baseline/follow-up.</w:t>
            </w:r>
          </w:p>
        </w:tc>
      </w:tr>
      <w:tr w:rsidR="00DB4CE1" w14:paraId="32ED1AAF" w14:textId="77777777">
        <w:trPr>
          <w:cantSplit/>
          <w:jc w:val="center"/>
        </w:trPr>
        <w:tc>
          <w:tcPr>
            <w:tcW w:w="2580" w:type="dxa"/>
            <w:shd w:val="clear" w:color="auto" w:fill="F2F6F8"/>
            <w:tcMar>
              <w:top w:w="85" w:type="dxa"/>
              <w:left w:w="100" w:type="dxa"/>
              <w:bottom w:w="85" w:type="dxa"/>
              <w:right w:w="100" w:type="dxa"/>
            </w:tcMar>
            <w:vAlign w:val="center"/>
          </w:tcPr>
          <w:p w14:paraId="486521A6" w14:textId="77777777" w:rsidR="00DB4CE1" w:rsidRDefault="00E03F66">
            <w:pPr>
              <w:spacing w:after="0" w:line="240" w:lineRule="auto"/>
              <w:jc w:val="left"/>
            </w:pPr>
            <w:r>
              <w:rPr>
                <w:color w:val="000000"/>
                <w:sz w:val="21"/>
              </w:rPr>
              <w:t>Lasith and RURACTIVE</w:t>
            </w:r>
          </w:p>
        </w:tc>
        <w:tc>
          <w:tcPr>
            <w:tcW w:w="5760" w:type="dxa"/>
            <w:shd w:val="clear" w:color="auto" w:fill="F2F6F8"/>
            <w:tcMar>
              <w:top w:w="85" w:type="dxa"/>
              <w:left w:w="100" w:type="dxa"/>
              <w:bottom w:w="85" w:type="dxa"/>
              <w:right w:w="100" w:type="dxa"/>
            </w:tcMar>
            <w:vAlign w:val="center"/>
          </w:tcPr>
          <w:p w14:paraId="6AC8C2FC" w14:textId="77777777" w:rsidR="00DB4CE1" w:rsidRDefault="00E03F66">
            <w:pPr>
              <w:spacing w:after="0" w:line="240" w:lineRule="auto"/>
              <w:jc w:val="left"/>
            </w:pPr>
            <w:r>
              <w:rPr>
                <w:color w:val="000000"/>
                <w:sz w:val="21"/>
              </w:rPr>
              <w:t>Per-code routes and auto_accept semantics; AMT/API/DMS terminology; missing-value and observation-window rules; participant/registered-user target mapping; metric and denominator definitions.</w:t>
            </w:r>
          </w:p>
        </w:tc>
      </w:tr>
    </w:tbl>
    <w:p w14:paraId="4D257D05" w14:textId="77777777" w:rsidR="00DB4CE1" w:rsidRDefault="00E03F66">
      <w:pPr>
        <w:pStyle w:val="Descripcin"/>
        <w:spacing w:before="80" w:after="160"/>
      </w:pPr>
      <w:r>
        <w:t xml:space="preserve">Table 5. </w:t>
      </w:r>
      <w:r>
        <w:t>Direct routes to resolving the remaining gaps.</w:t>
      </w:r>
    </w:p>
    <w:p w14:paraId="323A13AA" w14:textId="77777777" w:rsidR="00DB4CE1" w:rsidRDefault="00E03F66">
      <w:pPr>
        <w:spacing w:after="140" w:line="276" w:lineRule="auto"/>
      </w:pPr>
      <w:r>
        <w:t>Evenor-Tech is the likely source or coordinator for the missing operational records; this does not establish that those records exist. Lasith can confirm reporting rules and delivery configuration but cannot r</w:t>
      </w:r>
      <w:r>
        <w:t>eplace missing primary activity evidence. Where no historical records exist, document the measurement gap explicitly and agree how it is reported. Do not infer a zero outcome.</w:t>
      </w:r>
    </w:p>
    <w:p w14:paraId="79113B58" w14:textId="77777777" w:rsidR="00DB4CE1" w:rsidRDefault="00E03F66">
      <w:pPr>
        <w:spacing w:after="140" w:line="276" w:lineRule="auto"/>
      </w:pPr>
      <w:r>
        <w:t>The corrected report, official method workbook, period collection workbook and t</w:t>
      </w:r>
      <w:r>
        <w:t>raceability matrix are coherent as an internal review set. They are not a complete validated submission and should not be sent as such. Obtain the priority training and analytics evidence and the route/definition decisions before considering the response c</w:t>
      </w:r>
      <w:r>
        <w:t>omplete. The separate changes note lists the unresolved items without creating additional documents.</w:t>
      </w:r>
    </w:p>
    <w:p w14:paraId="251E8FF6" w14:textId="77777777" w:rsidR="00DB4CE1" w:rsidRDefault="00E03F66">
      <w:pPr>
        <w:pStyle w:val="Ttulo3"/>
        <w:pageBreakBefore/>
        <w:spacing w:before="0" w:after="160"/>
      </w:pPr>
      <w:bookmarkStart w:id="7" w:name="_Toc243394627"/>
      <w:r>
        <w:lastRenderedPageBreak/>
        <w:t>8 Sources and Supporting Evidence</w:t>
      </w:r>
      <w:bookmarkEnd w:id="7"/>
    </w:p>
    <w:p w14:paraId="2085A6E9" w14:textId="77777777" w:rsidR="00DB4CE1" w:rsidRDefault="00E03F66">
      <w:pPr>
        <w:spacing w:after="140" w:line="276" w:lineRule="auto"/>
      </w:pPr>
      <w:r>
        <w:rPr>
          <w:sz w:val="20"/>
        </w:rPr>
        <w:t>The traceability workbook retains source titles, exact locators, dates and limitations. No personal records or credential</w:t>
      </w:r>
      <w:r>
        <w:rPr>
          <w:sz w:val="20"/>
        </w:rPr>
        <w:t>s are reproduced.</w:t>
      </w:r>
    </w:p>
    <w:p w14:paraId="42610A9E" w14:textId="77777777" w:rsidR="00DB4CE1" w:rsidRDefault="00E03F66">
      <w:pPr>
        <w:spacing w:after="100" w:line="240" w:lineRule="auto"/>
      </w:pPr>
      <w:r>
        <w:rPr>
          <w:sz w:val="20"/>
        </w:rPr>
        <w:t>[E01] Received Innovator Indicators matrix, D05-ANFORA, rows 8–16; official definitions and time fields.</w:t>
      </w:r>
    </w:p>
    <w:p w14:paraId="1FE11E4D" w14:textId="77777777" w:rsidR="00DB4CE1" w:rsidRDefault="00E03F66">
      <w:pPr>
        <w:spacing w:after="100" w:line="240" w:lineRule="auto"/>
      </w:pPr>
      <w:r>
        <w:rPr>
          <w:sz w:val="20"/>
        </w:rPr>
        <w:t>[E02] Earlier Innovator Indicators method workbook, matched by official code.</w:t>
      </w:r>
    </w:p>
    <w:p w14:paraId="1A542DB7" w14:textId="77777777" w:rsidR="00DB4CE1" w:rsidRDefault="00E03F66">
      <w:pPr>
        <w:spacing w:after="100" w:line="240" w:lineRule="auto"/>
      </w:pPr>
      <w:r>
        <w:rPr>
          <w:sz w:val="20"/>
        </w:rPr>
        <w:t>[E03] Submitted Mid Validation report, 7 September 2026</w:t>
      </w:r>
      <w:r>
        <w:rPr>
          <w:sz w:val="20"/>
        </w:rPr>
        <w:t>, indicator and evidence sections.</w:t>
      </w:r>
    </w:p>
    <w:p w14:paraId="2A6A92BC" w14:textId="77777777" w:rsidR="00DB4CE1" w:rsidRDefault="00E03F66">
      <w:pPr>
        <w:spacing w:after="100" w:line="240" w:lineRule="auto"/>
      </w:pPr>
      <w:r>
        <w:rPr>
          <w:sz w:val="20"/>
        </w:rPr>
        <w:t>[E04] Original Mid Validation data collection workbook, Sheet1, rows 4–12.</w:t>
      </w:r>
    </w:p>
    <w:p w14:paraId="558BF430" w14:textId="77777777" w:rsidR="00DB4CE1" w:rsidRDefault="00E03F66">
      <w:pPr>
        <w:spacing w:after="100" w:line="240" w:lineRule="auto"/>
      </w:pPr>
      <w:r>
        <w:rPr>
          <w:sz w:val="20"/>
        </w:rPr>
        <w:t>[E05] ANFORA technical proposal, KPI commitments and activity schedule.</w:t>
      </w:r>
    </w:p>
    <w:p w14:paraId="7523B09F" w14:textId="77777777" w:rsidR="00DB4CE1" w:rsidRDefault="00E03F66">
      <w:pPr>
        <w:spacing w:after="100" w:line="240" w:lineRule="auto"/>
      </w:pPr>
      <w:r>
        <w:rPr>
          <w:sz w:val="20"/>
        </w:rPr>
        <w:t>[E06] Lucena coordination minutes, 5 August 2026, pages 1–3; party validat</w:t>
      </w:r>
      <w:r>
        <w:rPr>
          <w:sz w:val="20"/>
        </w:rPr>
        <w:t>ion pending.</w:t>
      </w:r>
    </w:p>
    <w:p w14:paraId="753BC622" w14:textId="77777777" w:rsidR="00DB4CE1" w:rsidRDefault="00E03F66">
      <w:pPr>
        <w:spacing w:after="100" w:line="240" w:lineRule="auto"/>
      </w:pPr>
      <w:r>
        <w:rPr>
          <w:sz w:val="20"/>
        </w:rPr>
        <w:t>[E07] Outreach evidence annex, June/August 2026; invitations and communications.</w:t>
      </w:r>
    </w:p>
    <w:p w14:paraId="112D08A8" w14:textId="77777777" w:rsidR="00DB4CE1" w:rsidRDefault="00E03F66">
      <w:pPr>
        <w:spacing w:after="100" w:line="240" w:lineRule="auto"/>
      </w:pPr>
      <w:r>
        <w:rPr>
          <w:sz w:val="20"/>
        </w:rPr>
        <w:t>[E08] Educator webinar evidence annex, 3 September 2026, pages 1–6.</w:t>
      </w:r>
    </w:p>
    <w:p w14:paraId="07B1C3B7" w14:textId="77777777" w:rsidR="00DB4CE1" w:rsidRDefault="00E03F66">
      <w:pPr>
        <w:spacing w:after="100" w:line="240" w:lineRule="auto"/>
      </w:pPr>
      <w:r>
        <w:rPr>
          <w:sz w:val="20"/>
        </w:rPr>
        <w:t>[E09] Twelve training PDFs in English and Spanish, metadata 24 April 2026.</w:t>
      </w:r>
    </w:p>
    <w:p w14:paraId="49ADFD2D" w14:textId="77777777" w:rsidR="00DB4CE1" w:rsidRDefault="00E03F66">
      <w:pPr>
        <w:spacing w:after="100" w:line="240" w:lineRule="auto"/>
      </w:pPr>
      <w:r>
        <w:rPr>
          <w:sz w:val="20"/>
        </w:rPr>
        <w:t xml:space="preserve">[E10] </w:t>
      </w:r>
      <w:r>
        <w:rPr>
          <w:sz w:val="20"/>
        </w:rPr>
        <w:t>Application source and dated Git changes, including 31 August and 4 October.</w:t>
      </w:r>
    </w:p>
    <w:p w14:paraId="32D67BF1" w14:textId="77777777" w:rsidR="00DB4CE1" w:rsidRDefault="00E03F66">
      <w:pPr>
        <w:spacing w:after="100" w:line="240" w:lineRule="auto"/>
      </w:pPr>
      <w:r>
        <w:rPr>
          <w:sz w:val="20"/>
        </w:rPr>
        <w:t>[E11] Read-only database aggregates, 20 October 2026, 10:08 UTC; exact period bounds in Data extracts.</w:t>
      </w:r>
    </w:p>
    <w:p w14:paraId="695DA929" w14:textId="77777777" w:rsidR="00DB4CE1" w:rsidRDefault="00E03F66">
      <w:pPr>
        <w:spacing w:after="100" w:line="240" w:lineRule="auto"/>
      </w:pPr>
      <w:r>
        <w:rPr>
          <w:sz w:val="20"/>
        </w:rPr>
        <w:t>[E12] User, calculation and consent-gated analytics code; second-review expo</w:t>
      </w:r>
      <w:r>
        <w:rPr>
          <w:sz w:val="20"/>
        </w:rPr>
        <w:t>rt/access inventory.</w:t>
      </w:r>
    </w:p>
    <w:p w14:paraId="492F7737" w14:textId="77777777" w:rsidR="00DB4CE1" w:rsidRDefault="00E03F66">
      <w:pPr>
        <w:spacing w:after="100" w:line="240" w:lineRule="auto"/>
      </w:pPr>
      <w:r>
        <w:rPr>
          <w:sz w:val="20"/>
        </w:rPr>
        <w:t>[E13] Reviewed project evidence and local log inventory; last local log date 2 September.</w:t>
      </w:r>
    </w:p>
    <w:p w14:paraId="3CFD5358" w14:textId="77777777" w:rsidR="00DB4CE1" w:rsidRDefault="00E03F66">
      <w:pPr>
        <w:spacing w:after="100" w:line="240" w:lineRule="auto"/>
      </w:pPr>
      <w:r>
        <w:rPr>
          <w:sz w:val="20"/>
        </w:rPr>
        <w:t>[E14] Retained ADA ITS event report and Evenor-Tech public communication, 5 October 2026.</w:t>
      </w:r>
    </w:p>
    <w:p w14:paraId="5D73330E" w14:textId="77777777" w:rsidR="00DB4CE1" w:rsidRDefault="00E03F66">
      <w:pPr>
        <w:spacing w:after="100" w:line="240" w:lineRule="auto"/>
      </w:pPr>
      <w:r>
        <w:rPr>
          <w:sz w:val="20"/>
        </w:rPr>
        <w:t xml:space="preserve">[E15] Original Lasith meeting transcript, read in full </w:t>
      </w:r>
      <w:r>
        <w:rPr>
          <w:sz w:val="20"/>
        </w:rPr>
        <w:t>12:31:54–12:47:18. Key instructions 12:38:25–12:43:20. Exact meeting date unstated.</w:t>
      </w:r>
    </w:p>
    <w:p w14:paraId="277A82FE" w14:textId="77777777" w:rsidR="00DB4CE1" w:rsidRDefault="00E03F66">
      <w:pPr>
        <w:spacing w:after="100" w:line="240" w:lineRule="auto"/>
      </w:pPr>
      <w:r>
        <w:rPr>
          <w:sz w:val="20"/>
        </w:rPr>
        <w:t>[E16] Known synthetic dataset provenance, backend reference 664e303, 5 October 2026.</w:t>
      </w:r>
    </w:p>
    <w:p w14:paraId="22001B20" w14:textId="77777777" w:rsidR="00DB4CE1" w:rsidRDefault="00E03F66">
      <w:pPr>
        <w:spacing w:after="100" w:line="240" w:lineRule="auto"/>
      </w:pPr>
      <w:r>
        <w:rPr>
          <w:sz w:val="20"/>
        </w:rPr>
        <w:t>[E17] EEA seasonal WEI+ dataset and Eurostat sdg_06_60; historical contextual data.</w:t>
      </w:r>
    </w:p>
    <w:p w14:paraId="791D4DB9" w14:textId="77777777" w:rsidR="00DB4CE1" w:rsidRDefault="00E03F66">
      <w:pPr>
        <w:spacing w:after="100" w:line="240" w:lineRule="auto"/>
      </w:pPr>
      <w:r>
        <w:rPr>
          <w:sz w:val="20"/>
        </w:rPr>
        <w:t>[E1</w:t>
      </w:r>
      <w:r>
        <w:rPr>
          <w:sz w:val="20"/>
        </w:rPr>
        <w:t>8] Public website and catalogue/statistics GET checks, HTTP 200 on 20 October.</w:t>
      </w:r>
    </w:p>
    <w:p w14:paraId="743BADC3" w14:textId="77777777" w:rsidR="00DB4CE1" w:rsidRDefault="00E03F66">
      <w:pPr>
        <w:spacing w:after="100" w:line="240" w:lineRule="auto"/>
      </w:pPr>
      <w:r>
        <w:rPr>
          <w:sz w:val="20"/>
        </w:rPr>
        <w:t>[E19] Earlier Lucena forms and presentation-preparation records; background only.</w:t>
      </w:r>
    </w:p>
    <w:p w14:paraId="3085FFE9" w14:textId="77777777" w:rsidR="00DB4CE1" w:rsidRDefault="00E03F66">
      <w:pPr>
        <w:spacing w:after="100" w:line="240" w:lineRule="auto"/>
      </w:pPr>
      <w:r>
        <w:rPr>
          <w:sz w:val="20"/>
        </w:rPr>
        <w:t>[E20] Additional read-only account classification aggregates, 20 October, 11:11 UTC. No individ</w:t>
      </w:r>
      <w:r>
        <w:rPr>
          <w:sz w:val="20"/>
        </w:rPr>
        <w:t>ual values returned.</w:t>
      </w:r>
    </w:p>
    <w:p w14:paraId="1FB7610B" w14:textId="77777777" w:rsidR="00DB4CE1" w:rsidRDefault="00E03F66">
      <w:pPr>
        <w:spacing w:after="100" w:line="240" w:lineRule="auto"/>
      </w:pPr>
      <w:r>
        <w:rPr>
          <w:sz w:val="20"/>
        </w:rPr>
        <w:t>[E21] PostHog official documentation on API access, sessions, identity and event retention; accessed 20 October. Guidance, not an ANFORA export.</w:t>
      </w:r>
    </w:p>
    <w:p w14:paraId="59129CD7" w14:textId="77777777" w:rsidR="00DB4CE1" w:rsidRDefault="00E03F66">
      <w:pPr>
        <w:spacing w:after="60" w:line="276" w:lineRule="auto"/>
      </w:pPr>
      <w:r>
        <w:rPr>
          <w:sz w:val="18"/>
        </w:rPr>
        <w:t>https://posthog.com/docs/api</w:t>
      </w:r>
    </w:p>
    <w:p w14:paraId="3A17C6A3" w14:textId="77777777" w:rsidR="00DB4CE1" w:rsidRDefault="00E03F66">
      <w:pPr>
        <w:spacing w:after="60" w:line="276" w:lineRule="auto"/>
      </w:pPr>
      <w:r>
        <w:rPr>
          <w:sz w:val="18"/>
        </w:rPr>
        <w:t>https://posthog.com/docs/data/sessions</w:t>
      </w:r>
    </w:p>
    <w:p w14:paraId="3D2C2F96" w14:textId="77777777" w:rsidR="00DB4CE1" w:rsidRDefault="00E03F66">
      <w:pPr>
        <w:spacing w:after="60" w:line="276" w:lineRule="auto"/>
      </w:pPr>
      <w:r>
        <w:rPr>
          <w:sz w:val="18"/>
        </w:rPr>
        <w:t>https://posthog.com/docs/data/persons</w:t>
      </w:r>
    </w:p>
    <w:p w14:paraId="632A5532" w14:textId="77777777" w:rsidR="00DB4CE1" w:rsidRDefault="00E03F66">
      <w:pPr>
        <w:spacing w:after="60" w:line="276" w:lineRule="auto"/>
      </w:pPr>
      <w:r>
        <w:rPr>
          <w:sz w:val="18"/>
        </w:rPr>
        <w:t>https://posthog.com/docs/api/events-retention</w:t>
      </w:r>
    </w:p>
    <w:sectPr w:rsidR="00DB4CE1" w:rsidSect="002038FF">
      <w:footerReference w:type="default" r:id="rId22"/>
      <w:headerReference w:type="first" r:id="rId23"/>
      <w:footerReference w:type="first" r:id="rId24"/>
      <w:pgSz w:w="11906" w:h="16838"/>
      <w:pgMar w:top="1440" w:right="1797" w:bottom="1440" w:left="1797" w:header="720" w:footer="720" w:gutter="0"/>
      <w:pgBorders w:offsetFrom="page">
        <w:bottom w:val="single" w:sz="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1152F" w14:textId="77777777" w:rsidR="00263020" w:rsidRPr="008773A4" w:rsidRDefault="00263020">
      <w:pPr>
        <w:spacing w:after="0" w:line="240" w:lineRule="auto"/>
      </w:pPr>
      <w:r w:rsidRPr="008773A4">
        <w:separator/>
      </w:r>
    </w:p>
  </w:endnote>
  <w:endnote w:type="continuationSeparator" w:id="0">
    <w:p w14:paraId="2C821488" w14:textId="77777777" w:rsidR="00263020" w:rsidRPr="008773A4" w:rsidRDefault="00263020">
      <w:pPr>
        <w:spacing w:after="0" w:line="240" w:lineRule="auto"/>
      </w:pPr>
      <w:r w:rsidRPr="008773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916049"/>
      <w:docPartObj>
        <w:docPartGallery w:val="Page Numbers (Bottom of Page)"/>
        <w:docPartUnique/>
      </w:docPartObj>
    </w:sdtPr>
    <w:sdtEndPr/>
    <w:sdtContent>
      <w:p w14:paraId="7E636466" w14:textId="77777777" w:rsidR="00D82337" w:rsidRDefault="00001B40">
        <w:pPr>
          <w:pStyle w:val="Piedepgina"/>
          <w:jc w:val="center"/>
        </w:pPr>
        <w:r>
          <w:t>i</w:t>
        </w:r>
      </w:p>
    </w:sdtContent>
  </w:sdt>
  <w:p w14:paraId="460F94DD" w14:textId="77777777" w:rsidR="0069239F" w:rsidRPr="008773A4" w:rsidRDefault="0069239F" w:rsidP="441EBD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7C0869A3" w14:textId="77777777" w:rsidTr="61CE887F">
      <w:trPr>
        <w:trHeight w:val="300"/>
      </w:trPr>
      <w:tc>
        <w:tcPr>
          <w:tcW w:w="2770" w:type="dxa"/>
        </w:tcPr>
        <w:p w14:paraId="76E97E92" w14:textId="77777777" w:rsidR="61CE887F" w:rsidRDefault="61CE887F" w:rsidP="61CE887F">
          <w:pPr>
            <w:pStyle w:val="Encabezado"/>
            <w:ind w:left="-115"/>
            <w:jc w:val="left"/>
          </w:pPr>
        </w:p>
      </w:tc>
      <w:tc>
        <w:tcPr>
          <w:tcW w:w="2770" w:type="dxa"/>
        </w:tcPr>
        <w:p w14:paraId="76A99E52" w14:textId="77777777" w:rsidR="61CE887F" w:rsidRDefault="61CE887F" w:rsidP="61CE887F">
          <w:pPr>
            <w:pStyle w:val="Encabezado"/>
            <w:jc w:val="center"/>
          </w:pPr>
        </w:p>
      </w:tc>
      <w:tc>
        <w:tcPr>
          <w:tcW w:w="2770" w:type="dxa"/>
        </w:tcPr>
        <w:p w14:paraId="642BB695" w14:textId="77777777" w:rsidR="61CE887F" w:rsidRDefault="61CE887F" w:rsidP="61CE887F">
          <w:pPr>
            <w:pStyle w:val="Encabezado"/>
            <w:ind w:right="-115"/>
            <w:jc w:val="right"/>
          </w:pPr>
        </w:p>
      </w:tc>
    </w:tr>
  </w:tbl>
  <w:p w14:paraId="69C9878D" w14:textId="77777777" w:rsidR="61CE887F" w:rsidRDefault="61CE887F" w:rsidP="61CE887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9886955"/>
      <w:docPartObj>
        <w:docPartGallery w:val="Page Numbers (Bottom of Page)"/>
        <w:docPartUnique/>
      </w:docPartObj>
    </w:sdtPr>
    <w:sdtEndPr/>
    <w:sdtContent>
      <w:p w14:paraId="683248B2" w14:textId="77777777" w:rsidR="00F511E0" w:rsidRDefault="00F511E0">
        <w:pPr>
          <w:pStyle w:val="Piedepgina"/>
          <w:jc w:val="center"/>
        </w:pPr>
        <w:r>
          <w:t>i</w:t>
        </w:r>
      </w:p>
    </w:sdtContent>
  </w:sdt>
  <w:p w14:paraId="6C1BB325" w14:textId="77777777" w:rsidR="00F511E0" w:rsidRPr="008773A4" w:rsidRDefault="00F511E0" w:rsidP="441EBDB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00F511E0" w14:paraId="478AF6AB" w14:textId="77777777" w:rsidTr="61CE887F">
      <w:trPr>
        <w:trHeight w:val="300"/>
      </w:trPr>
      <w:tc>
        <w:tcPr>
          <w:tcW w:w="2770" w:type="dxa"/>
        </w:tcPr>
        <w:p w14:paraId="3F6F4600" w14:textId="77777777" w:rsidR="00F511E0" w:rsidRDefault="00F511E0" w:rsidP="61CE887F">
          <w:pPr>
            <w:pStyle w:val="Encabezado"/>
            <w:ind w:left="-115"/>
            <w:jc w:val="left"/>
          </w:pPr>
        </w:p>
      </w:tc>
      <w:tc>
        <w:tcPr>
          <w:tcW w:w="2770" w:type="dxa"/>
        </w:tcPr>
        <w:p w14:paraId="2ADD472B" w14:textId="77777777" w:rsidR="00F511E0" w:rsidRDefault="00F511E0" w:rsidP="61CE887F">
          <w:pPr>
            <w:pStyle w:val="Encabezado"/>
            <w:jc w:val="center"/>
          </w:pPr>
        </w:p>
      </w:tc>
      <w:tc>
        <w:tcPr>
          <w:tcW w:w="2770" w:type="dxa"/>
        </w:tcPr>
        <w:p w14:paraId="05FFF5F2" w14:textId="77777777" w:rsidR="00F511E0" w:rsidRDefault="00F511E0" w:rsidP="61CE887F">
          <w:pPr>
            <w:pStyle w:val="Encabezado"/>
            <w:ind w:right="-115"/>
            <w:jc w:val="right"/>
          </w:pPr>
        </w:p>
      </w:tc>
    </w:tr>
  </w:tbl>
  <w:p w14:paraId="3925C8FA" w14:textId="77777777" w:rsidR="00F511E0" w:rsidRDefault="00F511E0" w:rsidP="61CE887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531880"/>
      <w:docPartObj>
        <w:docPartGallery w:val="Page Numbers (Bottom of Page)"/>
        <w:docPartUnique/>
      </w:docPartObj>
    </w:sdtPr>
    <w:sdtEndPr/>
    <w:sdtContent>
      <w:p w14:paraId="6C8300E3" w14:textId="77777777" w:rsidR="0069239F" w:rsidRPr="008773A4" w:rsidRDefault="0069239F" w:rsidP="3EDDA7DD">
        <w:pPr>
          <w:pStyle w:val="Piedepgina"/>
          <w:jc w:val="center"/>
        </w:pPr>
        <w:r>
          <w:fldChar w:fldCharType="begin"/>
        </w:r>
        <w:r>
          <w:instrText>PAGE   \* MERGEFORMAT</w:instrText>
        </w:r>
        <w:r>
          <w:fldChar w:fldCharType="separate"/>
        </w:r>
        <w:r w:rsidR="3EDDA7DD">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43850464" w14:textId="77777777" w:rsidTr="61CE887F">
      <w:trPr>
        <w:trHeight w:val="300"/>
      </w:trPr>
      <w:tc>
        <w:tcPr>
          <w:tcW w:w="2770" w:type="dxa"/>
        </w:tcPr>
        <w:p w14:paraId="3BAA474F" w14:textId="77777777" w:rsidR="61CE887F" w:rsidRDefault="61CE887F" w:rsidP="61CE887F">
          <w:pPr>
            <w:pStyle w:val="Encabezado"/>
            <w:ind w:left="-115"/>
            <w:jc w:val="left"/>
          </w:pPr>
        </w:p>
      </w:tc>
      <w:tc>
        <w:tcPr>
          <w:tcW w:w="2770" w:type="dxa"/>
        </w:tcPr>
        <w:p w14:paraId="0E7E6AFC" w14:textId="77777777" w:rsidR="61CE887F" w:rsidRDefault="61CE887F" w:rsidP="61CE887F">
          <w:pPr>
            <w:pStyle w:val="Encabezado"/>
            <w:jc w:val="center"/>
          </w:pPr>
        </w:p>
      </w:tc>
      <w:tc>
        <w:tcPr>
          <w:tcW w:w="2770" w:type="dxa"/>
        </w:tcPr>
        <w:p w14:paraId="22DAEB63" w14:textId="77777777" w:rsidR="61CE887F" w:rsidRDefault="61CE887F" w:rsidP="61CE887F">
          <w:pPr>
            <w:pStyle w:val="Encabezado"/>
            <w:ind w:right="-115"/>
            <w:jc w:val="right"/>
          </w:pPr>
        </w:p>
      </w:tc>
    </w:tr>
  </w:tbl>
  <w:p w14:paraId="6106387B" w14:textId="77777777" w:rsidR="61CE887F" w:rsidRDefault="61CE887F" w:rsidP="61CE88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0474B" w14:textId="77777777" w:rsidR="00263020" w:rsidRPr="008773A4" w:rsidRDefault="00263020">
      <w:pPr>
        <w:spacing w:after="0" w:line="240" w:lineRule="auto"/>
      </w:pPr>
      <w:r w:rsidRPr="008773A4">
        <w:separator/>
      </w:r>
    </w:p>
  </w:footnote>
  <w:footnote w:type="continuationSeparator" w:id="0">
    <w:p w14:paraId="34FB8C9E" w14:textId="77777777" w:rsidR="00263020" w:rsidRPr="008773A4" w:rsidRDefault="00263020">
      <w:pPr>
        <w:spacing w:after="0" w:line="240" w:lineRule="auto"/>
      </w:pPr>
      <w:r w:rsidRPr="008773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315AB" w14:textId="77777777" w:rsidR="002038FF" w:rsidRDefault="002038FF" w:rsidP="002038FF">
    <w:pPr>
      <w:spacing w:line="264" w:lineRule="auto"/>
    </w:pPr>
    <w:r>
      <w:rPr>
        <w:noProof/>
        <w:color w:val="000000"/>
      </w:rPr>
      <mc:AlternateContent>
        <mc:Choice Requires="wps">
          <w:drawing>
            <wp:anchor distT="0" distB="0" distL="114300" distR="114300" simplePos="0" relativeHeight="251659264" behindDoc="0" locked="0" layoutInCell="1" allowOverlap="1" wp14:anchorId="40555696" wp14:editId="24E79DB9">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w14:anchorId="6468F0F0">
            <v:rect id="Rectangle 233"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37173E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r>
      <w:rPr>
        <w:color w:val="156082" w:themeColor="accent1"/>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300C94F5" w14:textId="77777777" w:rsidTr="61CE887F">
      <w:trPr>
        <w:trHeight w:val="300"/>
      </w:trPr>
      <w:tc>
        <w:tcPr>
          <w:tcW w:w="2770" w:type="dxa"/>
        </w:tcPr>
        <w:p w14:paraId="3EA34BD0" w14:textId="77777777" w:rsidR="61CE887F" w:rsidRDefault="61CE887F" w:rsidP="61CE887F">
          <w:pPr>
            <w:pStyle w:val="Encabezado"/>
            <w:ind w:left="-115"/>
            <w:jc w:val="left"/>
          </w:pPr>
        </w:p>
      </w:tc>
      <w:tc>
        <w:tcPr>
          <w:tcW w:w="2770" w:type="dxa"/>
        </w:tcPr>
        <w:p w14:paraId="19A03113" w14:textId="77777777" w:rsidR="61CE887F" w:rsidRDefault="61CE887F" w:rsidP="61CE887F">
          <w:pPr>
            <w:pStyle w:val="Encabezado"/>
            <w:jc w:val="center"/>
          </w:pPr>
        </w:p>
      </w:tc>
      <w:tc>
        <w:tcPr>
          <w:tcW w:w="2770" w:type="dxa"/>
        </w:tcPr>
        <w:p w14:paraId="31875675" w14:textId="77777777" w:rsidR="61CE887F" w:rsidRDefault="61CE887F" w:rsidP="61CE887F">
          <w:pPr>
            <w:pStyle w:val="Encabezado"/>
            <w:ind w:right="-115"/>
            <w:jc w:val="right"/>
          </w:pPr>
        </w:p>
      </w:tc>
    </w:tr>
  </w:tbl>
  <w:p w14:paraId="6DBB354C" w14:textId="77777777" w:rsidR="61CE887F" w:rsidRDefault="61CE887F" w:rsidP="61CE887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A477C" w14:textId="77777777" w:rsidR="00F511E0" w:rsidRDefault="00F511E0" w:rsidP="3EDDA7DD">
    <w:pPr>
      <w:spacing w:line="264" w:lineRule="auto"/>
    </w:pPr>
    <w:r>
      <w:rPr>
        <w:noProof/>
        <w:color w:val="000000"/>
      </w:rPr>
      <mc:AlternateContent>
        <mc:Choice Requires="wps">
          <w:drawing>
            <wp:anchor distT="0" distB="0" distL="114300" distR="114300" simplePos="0" relativeHeight="251661312" behindDoc="0" locked="0" layoutInCell="1" allowOverlap="1" wp14:anchorId="649A84E4" wp14:editId="16E911FF">
              <wp:simplePos x="0" y="0"/>
              <wp:positionH relativeFrom="margin">
                <wp:align>center</wp:align>
              </wp:positionH>
              <wp:positionV relativeFrom="paragraph">
                <wp:posOffset>357505</wp:posOffset>
              </wp:positionV>
              <wp:extent cx="5755217" cy="0"/>
              <wp:effectExtent l="0" t="19050" r="36195" b="19050"/>
              <wp:wrapNone/>
              <wp:docPr id="1078119346" name="Straight Connector 2"/>
              <wp:cNvGraphicFramePr/>
              <a:graphic xmlns:a="http://schemas.openxmlformats.org/drawingml/2006/main">
                <a:graphicData uri="http://schemas.microsoft.com/office/word/2010/wordprocessingShape">
                  <wps:wsp>
                    <wps:cNvCnPr/>
                    <wps:spPr>
                      <a:xfrm>
                        <a:off x="0" y="0"/>
                        <a:ext cx="5755217" cy="0"/>
                      </a:xfrm>
                      <a:prstGeom prst="line">
                        <a:avLst/>
                      </a:prstGeom>
                      <a:ln w="38100">
                        <a:solidFill>
                          <a:srgbClr val="17A99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E4DF4" id="Straight Connector 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15pt" to="453.1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" strokecolor="#17a998" strokeweight="3pt">
              <v:stroke joinstyle="miter"/>
              <w10:wrap anchorx="margin"/>
            </v:line>
          </w:pict>
        </mc:Fallback>
      </mc:AlternateContent>
    </w:r>
    <w:r w:rsidRPr="3EDDA7DD">
      <w:rPr>
        <w:color w:val="156082" w:themeColor="accent1"/>
        <w:sz w:val="20"/>
        <w:szCs w:val="20"/>
      </w:rPr>
      <w:t xml:space="preserve">Indicators Review </w:t>
    </w:r>
    <w:r>
      <w:tab/>
    </w:r>
    <w:r>
      <w:tab/>
    </w:r>
    <w:r>
      <w:tab/>
    </w:r>
    <w:r>
      <w:tab/>
    </w:r>
    <w:r>
      <w:tab/>
    </w:r>
    <w:r>
      <w:tab/>
    </w:r>
    <w:r>
      <w:tab/>
    </w:r>
    <w:r w:rsidR="005C47DC">
      <w:rPr>
        <w:color w:val="155F81"/>
        <w:sz w:val="20"/>
        <w:szCs w:val="20"/>
      </w:rPr>
      <w:t>ANFORA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00F511E0" w14:paraId="1ADBDC86" w14:textId="77777777" w:rsidTr="61CE887F">
      <w:trPr>
        <w:trHeight w:val="300"/>
      </w:trPr>
      <w:tc>
        <w:tcPr>
          <w:tcW w:w="2770" w:type="dxa"/>
        </w:tcPr>
        <w:p w14:paraId="13B27262" w14:textId="77777777" w:rsidR="00F511E0" w:rsidRDefault="00F511E0" w:rsidP="61CE887F">
          <w:pPr>
            <w:pStyle w:val="Encabezado"/>
            <w:ind w:left="-115"/>
            <w:jc w:val="left"/>
          </w:pPr>
        </w:p>
      </w:tc>
      <w:tc>
        <w:tcPr>
          <w:tcW w:w="2770" w:type="dxa"/>
        </w:tcPr>
        <w:p w14:paraId="3FDAD8C4" w14:textId="77777777" w:rsidR="00F511E0" w:rsidRDefault="00F511E0" w:rsidP="61CE887F">
          <w:pPr>
            <w:pStyle w:val="Encabezado"/>
            <w:jc w:val="center"/>
          </w:pPr>
        </w:p>
      </w:tc>
      <w:tc>
        <w:tcPr>
          <w:tcW w:w="2770" w:type="dxa"/>
        </w:tcPr>
        <w:p w14:paraId="49BAB5C3" w14:textId="77777777" w:rsidR="00F511E0" w:rsidRDefault="00F511E0" w:rsidP="61CE887F">
          <w:pPr>
            <w:pStyle w:val="Encabezado"/>
            <w:ind w:right="-115"/>
            <w:jc w:val="right"/>
          </w:pPr>
        </w:p>
      </w:tc>
    </w:tr>
  </w:tbl>
  <w:p w14:paraId="7FA7BC9E" w14:textId="77777777" w:rsidR="00F511E0" w:rsidRDefault="00F511E0" w:rsidP="61CE887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770"/>
      <w:gridCol w:w="2770"/>
      <w:gridCol w:w="2770"/>
    </w:tblGrid>
    <w:tr w:rsidR="61CE887F" w14:paraId="6CA4476D" w14:textId="77777777" w:rsidTr="61CE887F">
      <w:trPr>
        <w:trHeight w:val="300"/>
      </w:trPr>
      <w:tc>
        <w:tcPr>
          <w:tcW w:w="2770" w:type="dxa"/>
        </w:tcPr>
        <w:p w14:paraId="5E3836AE" w14:textId="77777777" w:rsidR="61CE887F" w:rsidRDefault="61CE887F" w:rsidP="61CE887F">
          <w:pPr>
            <w:pStyle w:val="Encabezado"/>
            <w:ind w:left="-115"/>
            <w:jc w:val="left"/>
          </w:pPr>
        </w:p>
      </w:tc>
      <w:tc>
        <w:tcPr>
          <w:tcW w:w="2770" w:type="dxa"/>
        </w:tcPr>
        <w:p w14:paraId="2D96904C" w14:textId="77777777" w:rsidR="61CE887F" w:rsidRDefault="61CE887F" w:rsidP="61CE887F">
          <w:pPr>
            <w:pStyle w:val="Encabezado"/>
            <w:jc w:val="center"/>
          </w:pPr>
        </w:p>
      </w:tc>
      <w:tc>
        <w:tcPr>
          <w:tcW w:w="2770" w:type="dxa"/>
        </w:tcPr>
        <w:p w14:paraId="042A7A58" w14:textId="77777777" w:rsidR="61CE887F" w:rsidRDefault="61CE887F" w:rsidP="61CE887F">
          <w:pPr>
            <w:pStyle w:val="Encabezado"/>
            <w:ind w:right="-115"/>
            <w:jc w:val="right"/>
          </w:pPr>
        </w:p>
      </w:tc>
    </w:tr>
  </w:tbl>
  <w:p w14:paraId="7555090B" w14:textId="77777777" w:rsidR="61CE887F" w:rsidRDefault="61CE887F" w:rsidP="61CE8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7678A"/>
    <w:multiLevelType w:val="hybridMultilevel"/>
    <w:tmpl w:val="0CE882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2805FE"/>
    <w:multiLevelType w:val="hybridMultilevel"/>
    <w:tmpl w:val="037281A8"/>
    <w:lvl w:ilvl="0" w:tplc="8CAC348C">
      <w:start w:val="1"/>
      <w:numFmt w:val="bullet"/>
      <w:lvlText w:val=""/>
      <w:lvlJc w:val="left"/>
      <w:pPr>
        <w:ind w:left="360" w:hanging="360"/>
      </w:pPr>
      <w:rPr>
        <w:rFonts w:ascii="Symbol" w:hAnsi="Symbol" w:hint="default"/>
      </w:rPr>
    </w:lvl>
    <w:lvl w:ilvl="1" w:tplc="2C94A430">
      <w:start w:val="1"/>
      <w:numFmt w:val="bullet"/>
      <w:lvlText w:val="o"/>
      <w:lvlJc w:val="left"/>
      <w:pPr>
        <w:ind w:left="1080" w:hanging="360"/>
      </w:pPr>
      <w:rPr>
        <w:rFonts w:ascii="Courier New" w:hAnsi="Courier New" w:hint="default"/>
      </w:rPr>
    </w:lvl>
    <w:lvl w:ilvl="2" w:tplc="6FEA06BA">
      <w:start w:val="1"/>
      <w:numFmt w:val="bullet"/>
      <w:lvlText w:val=""/>
      <w:lvlJc w:val="left"/>
      <w:pPr>
        <w:ind w:left="1800" w:hanging="360"/>
      </w:pPr>
      <w:rPr>
        <w:rFonts w:ascii="Wingdings" w:hAnsi="Wingdings" w:hint="default"/>
      </w:rPr>
    </w:lvl>
    <w:lvl w:ilvl="3" w:tplc="7318E512">
      <w:start w:val="1"/>
      <w:numFmt w:val="bullet"/>
      <w:lvlText w:val=""/>
      <w:lvlJc w:val="left"/>
      <w:pPr>
        <w:ind w:left="2520" w:hanging="360"/>
      </w:pPr>
      <w:rPr>
        <w:rFonts w:ascii="Symbol" w:hAnsi="Symbol" w:hint="default"/>
      </w:rPr>
    </w:lvl>
    <w:lvl w:ilvl="4" w:tplc="9940AEBC">
      <w:start w:val="1"/>
      <w:numFmt w:val="bullet"/>
      <w:lvlText w:val="o"/>
      <w:lvlJc w:val="left"/>
      <w:pPr>
        <w:ind w:left="3240" w:hanging="360"/>
      </w:pPr>
      <w:rPr>
        <w:rFonts w:ascii="Courier New" w:hAnsi="Courier New" w:hint="default"/>
      </w:rPr>
    </w:lvl>
    <w:lvl w:ilvl="5" w:tplc="DA86F526">
      <w:start w:val="1"/>
      <w:numFmt w:val="bullet"/>
      <w:lvlText w:val=""/>
      <w:lvlJc w:val="left"/>
      <w:pPr>
        <w:ind w:left="3960" w:hanging="360"/>
      </w:pPr>
      <w:rPr>
        <w:rFonts w:ascii="Wingdings" w:hAnsi="Wingdings" w:hint="default"/>
      </w:rPr>
    </w:lvl>
    <w:lvl w:ilvl="6" w:tplc="4568F972">
      <w:start w:val="1"/>
      <w:numFmt w:val="bullet"/>
      <w:lvlText w:val=""/>
      <w:lvlJc w:val="left"/>
      <w:pPr>
        <w:ind w:left="4680" w:hanging="360"/>
      </w:pPr>
      <w:rPr>
        <w:rFonts w:ascii="Symbol" w:hAnsi="Symbol" w:hint="default"/>
      </w:rPr>
    </w:lvl>
    <w:lvl w:ilvl="7" w:tplc="5508AC6E">
      <w:start w:val="1"/>
      <w:numFmt w:val="bullet"/>
      <w:lvlText w:val="o"/>
      <w:lvlJc w:val="left"/>
      <w:pPr>
        <w:ind w:left="5400" w:hanging="360"/>
      </w:pPr>
      <w:rPr>
        <w:rFonts w:ascii="Courier New" w:hAnsi="Courier New" w:hint="default"/>
      </w:rPr>
    </w:lvl>
    <w:lvl w:ilvl="8" w:tplc="82AA197A">
      <w:start w:val="1"/>
      <w:numFmt w:val="bullet"/>
      <w:lvlText w:val=""/>
      <w:lvlJc w:val="left"/>
      <w:pPr>
        <w:ind w:left="6120" w:hanging="360"/>
      </w:pPr>
      <w:rPr>
        <w:rFonts w:ascii="Wingdings" w:hAnsi="Wingdings" w:hint="default"/>
      </w:rPr>
    </w:lvl>
  </w:abstractNum>
  <w:abstractNum w:abstractNumId="2" w15:restartNumberingAfterBreak="0">
    <w:nsid w:val="78C54E15"/>
    <w:multiLevelType w:val="hybridMultilevel"/>
    <w:tmpl w:val="FFFFFFFF"/>
    <w:lvl w:ilvl="0" w:tplc="490815B0">
      <w:start w:val="1"/>
      <w:numFmt w:val="bullet"/>
      <w:lvlText w:val=""/>
      <w:lvlJc w:val="left"/>
      <w:pPr>
        <w:ind w:left="720" w:hanging="360"/>
      </w:pPr>
      <w:rPr>
        <w:rFonts w:ascii="Symbol" w:hAnsi="Symbol" w:hint="default"/>
      </w:rPr>
    </w:lvl>
    <w:lvl w:ilvl="1" w:tplc="808CE136">
      <w:start w:val="1"/>
      <w:numFmt w:val="bullet"/>
      <w:lvlText w:val="o"/>
      <w:lvlJc w:val="left"/>
      <w:pPr>
        <w:ind w:left="1440" w:hanging="360"/>
      </w:pPr>
      <w:rPr>
        <w:rFonts w:ascii="Courier New" w:hAnsi="Courier New" w:hint="default"/>
      </w:rPr>
    </w:lvl>
    <w:lvl w:ilvl="2" w:tplc="6B9217AA">
      <w:start w:val="1"/>
      <w:numFmt w:val="bullet"/>
      <w:lvlText w:val=""/>
      <w:lvlJc w:val="left"/>
      <w:pPr>
        <w:ind w:left="2160" w:hanging="360"/>
      </w:pPr>
      <w:rPr>
        <w:rFonts w:ascii="Wingdings" w:hAnsi="Wingdings" w:hint="default"/>
      </w:rPr>
    </w:lvl>
    <w:lvl w:ilvl="3" w:tplc="5CEC4E26">
      <w:start w:val="1"/>
      <w:numFmt w:val="bullet"/>
      <w:lvlText w:val=""/>
      <w:lvlJc w:val="left"/>
      <w:pPr>
        <w:ind w:left="2880" w:hanging="360"/>
      </w:pPr>
      <w:rPr>
        <w:rFonts w:ascii="Symbol" w:hAnsi="Symbol" w:hint="default"/>
      </w:rPr>
    </w:lvl>
    <w:lvl w:ilvl="4" w:tplc="93EC71CE">
      <w:start w:val="1"/>
      <w:numFmt w:val="bullet"/>
      <w:lvlText w:val="o"/>
      <w:lvlJc w:val="left"/>
      <w:pPr>
        <w:ind w:left="3600" w:hanging="360"/>
      </w:pPr>
      <w:rPr>
        <w:rFonts w:ascii="Courier New" w:hAnsi="Courier New" w:hint="default"/>
      </w:rPr>
    </w:lvl>
    <w:lvl w:ilvl="5" w:tplc="5034668E">
      <w:start w:val="1"/>
      <w:numFmt w:val="bullet"/>
      <w:lvlText w:val=""/>
      <w:lvlJc w:val="left"/>
      <w:pPr>
        <w:ind w:left="4320" w:hanging="360"/>
      </w:pPr>
      <w:rPr>
        <w:rFonts w:ascii="Wingdings" w:hAnsi="Wingdings" w:hint="default"/>
      </w:rPr>
    </w:lvl>
    <w:lvl w:ilvl="6" w:tplc="D6006E1C">
      <w:start w:val="1"/>
      <w:numFmt w:val="bullet"/>
      <w:lvlText w:val=""/>
      <w:lvlJc w:val="left"/>
      <w:pPr>
        <w:ind w:left="5040" w:hanging="360"/>
      </w:pPr>
      <w:rPr>
        <w:rFonts w:ascii="Symbol" w:hAnsi="Symbol" w:hint="default"/>
      </w:rPr>
    </w:lvl>
    <w:lvl w:ilvl="7" w:tplc="8A7080BC">
      <w:start w:val="1"/>
      <w:numFmt w:val="bullet"/>
      <w:lvlText w:val="o"/>
      <w:lvlJc w:val="left"/>
      <w:pPr>
        <w:ind w:left="5760" w:hanging="360"/>
      </w:pPr>
      <w:rPr>
        <w:rFonts w:ascii="Courier New" w:hAnsi="Courier New" w:hint="default"/>
      </w:rPr>
    </w:lvl>
    <w:lvl w:ilvl="8" w:tplc="4E06B4E2">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184EF1"/>
    <w:rsid w:val="00001B40"/>
    <w:rsid w:val="00004229"/>
    <w:rsid w:val="000467A4"/>
    <w:rsid w:val="000878FD"/>
    <w:rsid w:val="000D0C96"/>
    <w:rsid w:val="000D7FC1"/>
    <w:rsid w:val="001364E4"/>
    <w:rsid w:val="002038FF"/>
    <w:rsid w:val="00254B1B"/>
    <w:rsid w:val="00263020"/>
    <w:rsid w:val="002B32FF"/>
    <w:rsid w:val="002E7286"/>
    <w:rsid w:val="003967CF"/>
    <w:rsid w:val="003F681E"/>
    <w:rsid w:val="00447B7B"/>
    <w:rsid w:val="00546101"/>
    <w:rsid w:val="005C47DC"/>
    <w:rsid w:val="005F64E7"/>
    <w:rsid w:val="0061542B"/>
    <w:rsid w:val="006540DE"/>
    <w:rsid w:val="00681947"/>
    <w:rsid w:val="0069239F"/>
    <w:rsid w:val="006C3B64"/>
    <w:rsid w:val="00751B6C"/>
    <w:rsid w:val="007917EB"/>
    <w:rsid w:val="007CE656"/>
    <w:rsid w:val="00811061"/>
    <w:rsid w:val="0085350B"/>
    <w:rsid w:val="008773A4"/>
    <w:rsid w:val="008965D8"/>
    <w:rsid w:val="008E426D"/>
    <w:rsid w:val="008E5D44"/>
    <w:rsid w:val="008F1154"/>
    <w:rsid w:val="00974B6F"/>
    <w:rsid w:val="00A2384F"/>
    <w:rsid w:val="00A662B1"/>
    <w:rsid w:val="00A6638C"/>
    <w:rsid w:val="00A82874"/>
    <w:rsid w:val="00A94092"/>
    <w:rsid w:val="00AC2418"/>
    <w:rsid w:val="00AF7256"/>
    <w:rsid w:val="00C633AF"/>
    <w:rsid w:val="00C65995"/>
    <w:rsid w:val="00CB017C"/>
    <w:rsid w:val="00CC360A"/>
    <w:rsid w:val="00D82337"/>
    <w:rsid w:val="00DB4CE1"/>
    <w:rsid w:val="00E03F66"/>
    <w:rsid w:val="00E9350C"/>
    <w:rsid w:val="00F47DD5"/>
    <w:rsid w:val="00F511E0"/>
    <w:rsid w:val="00F66955"/>
    <w:rsid w:val="00F964EC"/>
    <w:rsid w:val="00FF42B6"/>
    <w:rsid w:val="01050A32"/>
    <w:rsid w:val="012B8BDC"/>
    <w:rsid w:val="0176C4BC"/>
    <w:rsid w:val="017FA911"/>
    <w:rsid w:val="01A9A11A"/>
    <w:rsid w:val="01DE3800"/>
    <w:rsid w:val="01E677DE"/>
    <w:rsid w:val="0221A050"/>
    <w:rsid w:val="025ED22F"/>
    <w:rsid w:val="027DE5C3"/>
    <w:rsid w:val="02A036F6"/>
    <w:rsid w:val="02DB94A0"/>
    <w:rsid w:val="031AAFC9"/>
    <w:rsid w:val="03986C7E"/>
    <w:rsid w:val="04960DAE"/>
    <w:rsid w:val="04C037BE"/>
    <w:rsid w:val="0503B701"/>
    <w:rsid w:val="054A68EF"/>
    <w:rsid w:val="05A1D9C7"/>
    <w:rsid w:val="05B849AD"/>
    <w:rsid w:val="05CFD494"/>
    <w:rsid w:val="05D43B8C"/>
    <w:rsid w:val="0683EB4B"/>
    <w:rsid w:val="06896EAE"/>
    <w:rsid w:val="06A4F30E"/>
    <w:rsid w:val="071B7FCA"/>
    <w:rsid w:val="07836C58"/>
    <w:rsid w:val="07C30A7F"/>
    <w:rsid w:val="07CB2A66"/>
    <w:rsid w:val="07DC9250"/>
    <w:rsid w:val="080935FE"/>
    <w:rsid w:val="082633CA"/>
    <w:rsid w:val="083AE7EE"/>
    <w:rsid w:val="085056BD"/>
    <w:rsid w:val="085BF15D"/>
    <w:rsid w:val="08AC5DA2"/>
    <w:rsid w:val="08B324AC"/>
    <w:rsid w:val="08F46501"/>
    <w:rsid w:val="09508F64"/>
    <w:rsid w:val="0997E930"/>
    <w:rsid w:val="09DF4816"/>
    <w:rsid w:val="0A98C9D1"/>
    <w:rsid w:val="0AD2E259"/>
    <w:rsid w:val="0AE34FFB"/>
    <w:rsid w:val="0B0FF38E"/>
    <w:rsid w:val="0B237FCC"/>
    <w:rsid w:val="0B41557C"/>
    <w:rsid w:val="0B64F0CE"/>
    <w:rsid w:val="0C0F1C00"/>
    <w:rsid w:val="0C20A01E"/>
    <w:rsid w:val="0C51805E"/>
    <w:rsid w:val="0C9F8831"/>
    <w:rsid w:val="0D065CB5"/>
    <w:rsid w:val="0D3FD67A"/>
    <w:rsid w:val="0D7D9D98"/>
    <w:rsid w:val="0DCDE615"/>
    <w:rsid w:val="0EA367E9"/>
    <w:rsid w:val="0EB8EC77"/>
    <w:rsid w:val="0F249560"/>
    <w:rsid w:val="0F6A89ED"/>
    <w:rsid w:val="0FC9EAAB"/>
    <w:rsid w:val="0FE75B63"/>
    <w:rsid w:val="104C1103"/>
    <w:rsid w:val="1074CFF4"/>
    <w:rsid w:val="10BD7FA9"/>
    <w:rsid w:val="10BDC791"/>
    <w:rsid w:val="10FD1C30"/>
    <w:rsid w:val="11496E9A"/>
    <w:rsid w:val="115EBAD4"/>
    <w:rsid w:val="11A4EB78"/>
    <w:rsid w:val="12B3B242"/>
    <w:rsid w:val="12F0F7B5"/>
    <w:rsid w:val="13454CCE"/>
    <w:rsid w:val="13B91208"/>
    <w:rsid w:val="143793F5"/>
    <w:rsid w:val="146C974B"/>
    <w:rsid w:val="14852349"/>
    <w:rsid w:val="1490D94E"/>
    <w:rsid w:val="149FD8D2"/>
    <w:rsid w:val="14BD7604"/>
    <w:rsid w:val="14CBEB04"/>
    <w:rsid w:val="14E10ECD"/>
    <w:rsid w:val="15480E68"/>
    <w:rsid w:val="15674EE5"/>
    <w:rsid w:val="1581F3BC"/>
    <w:rsid w:val="1597F43B"/>
    <w:rsid w:val="15EB6D70"/>
    <w:rsid w:val="16333CAE"/>
    <w:rsid w:val="163732E5"/>
    <w:rsid w:val="16A5FBFB"/>
    <w:rsid w:val="16D8E8CC"/>
    <w:rsid w:val="170AA8DB"/>
    <w:rsid w:val="1764A7A4"/>
    <w:rsid w:val="176E2E48"/>
    <w:rsid w:val="1771BD53"/>
    <w:rsid w:val="1780CFD6"/>
    <w:rsid w:val="17AE9D49"/>
    <w:rsid w:val="17BC1DA7"/>
    <w:rsid w:val="17C5BD0F"/>
    <w:rsid w:val="17C8AFE2"/>
    <w:rsid w:val="17EC65A7"/>
    <w:rsid w:val="18181826"/>
    <w:rsid w:val="188A6F66"/>
    <w:rsid w:val="18AE0EF2"/>
    <w:rsid w:val="18E2D519"/>
    <w:rsid w:val="1908F4C7"/>
    <w:rsid w:val="192A56BA"/>
    <w:rsid w:val="192AA90F"/>
    <w:rsid w:val="197C00BF"/>
    <w:rsid w:val="199CDB6A"/>
    <w:rsid w:val="19D4BCB0"/>
    <w:rsid w:val="1A7B8148"/>
    <w:rsid w:val="1AD71DCB"/>
    <w:rsid w:val="1B47BCF4"/>
    <w:rsid w:val="1BC4203A"/>
    <w:rsid w:val="1BCA717B"/>
    <w:rsid w:val="1BD540CB"/>
    <w:rsid w:val="1C41E34C"/>
    <w:rsid w:val="1C516E57"/>
    <w:rsid w:val="1C8BCF21"/>
    <w:rsid w:val="1CB4A25F"/>
    <w:rsid w:val="1D8503DC"/>
    <w:rsid w:val="1D935174"/>
    <w:rsid w:val="1DF19AD2"/>
    <w:rsid w:val="1E3E2670"/>
    <w:rsid w:val="1E4D6B02"/>
    <w:rsid w:val="1E691949"/>
    <w:rsid w:val="1E879FAE"/>
    <w:rsid w:val="1EE6C224"/>
    <w:rsid w:val="1F2009CB"/>
    <w:rsid w:val="1F6CF5C3"/>
    <w:rsid w:val="1F9D67BA"/>
    <w:rsid w:val="1FC4F8BA"/>
    <w:rsid w:val="1FF47B67"/>
    <w:rsid w:val="2085B9CC"/>
    <w:rsid w:val="20DCD181"/>
    <w:rsid w:val="20E84DC4"/>
    <w:rsid w:val="20E85768"/>
    <w:rsid w:val="214454F8"/>
    <w:rsid w:val="219CF1B9"/>
    <w:rsid w:val="21DC2D4E"/>
    <w:rsid w:val="22343B7C"/>
    <w:rsid w:val="2289BF9A"/>
    <w:rsid w:val="228EC633"/>
    <w:rsid w:val="233E8CA8"/>
    <w:rsid w:val="2365AB15"/>
    <w:rsid w:val="23D8E180"/>
    <w:rsid w:val="23E05217"/>
    <w:rsid w:val="241618BD"/>
    <w:rsid w:val="243086BB"/>
    <w:rsid w:val="244CF617"/>
    <w:rsid w:val="24559B1B"/>
    <w:rsid w:val="2466C5EC"/>
    <w:rsid w:val="24BFBE0F"/>
    <w:rsid w:val="24C8DFAF"/>
    <w:rsid w:val="24D6FFFF"/>
    <w:rsid w:val="24F75378"/>
    <w:rsid w:val="2567185A"/>
    <w:rsid w:val="258F1FB9"/>
    <w:rsid w:val="25AE552C"/>
    <w:rsid w:val="25C05879"/>
    <w:rsid w:val="25C742C3"/>
    <w:rsid w:val="265F8FA5"/>
    <w:rsid w:val="2661A59A"/>
    <w:rsid w:val="266732A6"/>
    <w:rsid w:val="266F9777"/>
    <w:rsid w:val="26C4C8DB"/>
    <w:rsid w:val="27003B74"/>
    <w:rsid w:val="27EF2F82"/>
    <w:rsid w:val="28090290"/>
    <w:rsid w:val="28255A1A"/>
    <w:rsid w:val="283E742C"/>
    <w:rsid w:val="2843260D"/>
    <w:rsid w:val="28572221"/>
    <w:rsid w:val="291CDF9C"/>
    <w:rsid w:val="29971020"/>
    <w:rsid w:val="29B59441"/>
    <w:rsid w:val="29C34F7F"/>
    <w:rsid w:val="2A00CA93"/>
    <w:rsid w:val="2A6DD9B4"/>
    <w:rsid w:val="2A92E1BD"/>
    <w:rsid w:val="2AA85C1A"/>
    <w:rsid w:val="2AEB3E6D"/>
    <w:rsid w:val="2B105BA3"/>
    <w:rsid w:val="2B41AA01"/>
    <w:rsid w:val="2B99C050"/>
    <w:rsid w:val="2BDF3020"/>
    <w:rsid w:val="2C2A0044"/>
    <w:rsid w:val="2C9CC277"/>
    <w:rsid w:val="2CB0EBAB"/>
    <w:rsid w:val="2D358748"/>
    <w:rsid w:val="2D3E8C76"/>
    <w:rsid w:val="2D755A32"/>
    <w:rsid w:val="2DA0FC81"/>
    <w:rsid w:val="2DACE233"/>
    <w:rsid w:val="2DC21575"/>
    <w:rsid w:val="2DF4454A"/>
    <w:rsid w:val="2E0626EB"/>
    <w:rsid w:val="2E1B2E9B"/>
    <w:rsid w:val="2E3A0E66"/>
    <w:rsid w:val="2E64CB4D"/>
    <w:rsid w:val="2E6A0D03"/>
    <w:rsid w:val="2EA2DE15"/>
    <w:rsid w:val="2EAB33FA"/>
    <w:rsid w:val="2EB30B77"/>
    <w:rsid w:val="2EB889D4"/>
    <w:rsid w:val="2F04A258"/>
    <w:rsid w:val="2F12B4B7"/>
    <w:rsid w:val="2F9AB31B"/>
    <w:rsid w:val="30310163"/>
    <w:rsid w:val="305FC41C"/>
    <w:rsid w:val="3070B6CE"/>
    <w:rsid w:val="307CC729"/>
    <w:rsid w:val="308DFA03"/>
    <w:rsid w:val="30939B6E"/>
    <w:rsid w:val="30ACBB2A"/>
    <w:rsid w:val="30B3B3F3"/>
    <w:rsid w:val="3109A153"/>
    <w:rsid w:val="311D6886"/>
    <w:rsid w:val="31359E9B"/>
    <w:rsid w:val="316CE7E3"/>
    <w:rsid w:val="31992B0C"/>
    <w:rsid w:val="32085334"/>
    <w:rsid w:val="32101689"/>
    <w:rsid w:val="32184EF1"/>
    <w:rsid w:val="325D89C8"/>
    <w:rsid w:val="327A586E"/>
    <w:rsid w:val="3320803F"/>
    <w:rsid w:val="334D3118"/>
    <w:rsid w:val="33588FF5"/>
    <w:rsid w:val="33AD578D"/>
    <w:rsid w:val="3449B061"/>
    <w:rsid w:val="34530894"/>
    <w:rsid w:val="3476FB23"/>
    <w:rsid w:val="348A1BB4"/>
    <w:rsid w:val="349C4A98"/>
    <w:rsid w:val="349C99A3"/>
    <w:rsid w:val="34A06820"/>
    <w:rsid w:val="34A37097"/>
    <w:rsid w:val="34F06223"/>
    <w:rsid w:val="3503F8F2"/>
    <w:rsid w:val="352CD3C1"/>
    <w:rsid w:val="3559A146"/>
    <w:rsid w:val="35D23599"/>
    <w:rsid w:val="35D2A087"/>
    <w:rsid w:val="35F4C04A"/>
    <w:rsid w:val="3612E690"/>
    <w:rsid w:val="365696A2"/>
    <w:rsid w:val="368F9EC1"/>
    <w:rsid w:val="36B08218"/>
    <w:rsid w:val="36FEA979"/>
    <w:rsid w:val="37171B0D"/>
    <w:rsid w:val="374AC29F"/>
    <w:rsid w:val="3788BDDF"/>
    <w:rsid w:val="37942F65"/>
    <w:rsid w:val="380FE86B"/>
    <w:rsid w:val="385A0646"/>
    <w:rsid w:val="38C7ABE4"/>
    <w:rsid w:val="390C8BB8"/>
    <w:rsid w:val="392FADDD"/>
    <w:rsid w:val="39563078"/>
    <w:rsid w:val="39BB885A"/>
    <w:rsid w:val="3A0B2877"/>
    <w:rsid w:val="3A24F6F5"/>
    <w:rsid w:val="3A40C5A6"/>
    <w:rsid w:val="3A59032C"/>
    <w:rsid w:val="3A8BFE89"/>
    <w:rsid w:val="3B1F2400"/>
    <w:rsid w:val="3B236704"/>
    <w:rsid w:val="3B32C99F"/>
    <w:rsid w:val="3B3BB718"/>
    <w:rsid w:val="3B3F3261"/>
    <w:rsid w:val="3B6000F2"/>
    <w:rsid w:val="3BDE7DF2"/>
    <w:rsid w:val="3BE34F20"/>
    <w:rsid w:val="3C4FA6FF"/>
    <w:rsid w:val="3C5C087A"/>
    <w:rsid w:val="3CD6D192"/>
    <w:rsid w:val="3D415D01"/>
    <w:rsid w:val="3D525A64"/>
    <w:rsid w:val="3DE0BF3D"/>
    <w:rsid w:val="3E366B5B"/>
    <w:rsid w:val="3E751B3D"/>
    <w:rsid w:val="3E90FE3E"/>
    <w:rsid w:val="3EDDA7DD"/>
    <w:rsid w:val="3F031737"/>
    <w:rsid w:val="3F5BAFF8"/>
    <w:rsid w:val="3FE04471"/>
    <w:rsid w:val="3FFDC3A4"/>
    <w:rsid w:val="401B183A"/>
    <w:rsid w:val="40A42317"/>
    <w:rsid w:val="40EAA728"/>
    <w:rsid w:val="41943B7E"/>
    <w:rsid w:val="419C732F"/>
    <w:rsid w:val="41CA282D"/>
    <w:rsid w:val="41EE70B9"/>
    <w:rsid w:val="42031346"/>
    <w:rsid w:val="420D64CA"/>
    <w:rsid w:val="420F81A6"/>
    <w:rsid w:val="422CDCB3"/>
    <w:rsid w:val="42B238ED"/>
    <w:rsid w:val="4322BFD6"/>
    <w:rsid w:val="43537363"/>
    <w:rsid w:val="439DEC75"/>
    <w:rsid w:val="43AEC0E4"/>
    <w:rsid w:val="441EBDBB"/>
    <w:rsid w:val="44203B43"/>
    <w:rsid w:val="4450933A"/>
    <w:rsid w:val="4472217A"/>
    <w:rsid w:val="449A05ED"/>
    <w:rsid w:val="44D6DA98"/>
    <w:rsid w:val="45016B54"/>
    <w:rsid w:val="4572E86F"/>
    <w:rsid w:val="45E1BAA6"/>
    <w:rsid w:val="46330763"/>
    <w:rsid w:val="4647B6DE"/>
    <w:rsid w:val="467F096E"/>
    <w:rsid w:val="46D6F918"/>
    <w:rsid w:val="472089E8"/>
    <w:rsid w:val="4723BBBB"/>
    <w:rsid w:val="47573167"/>
    <w:rsid w:val="4781F86E"/>
    <w:rsid w:val="47ABF49E"/>
    <w:rsid w:val="47E957E3"/>
    <w:rsid w:val="47FCD16D"/>
    <w:rsid w:val="488E42F9"/>
    <w:rsid w:val="48B2C2E0"/>
    <w:rsid w:val="48BB0B25"/>
    <w:rsid w:val="494BDA79"/>
    <w:rsid w:val="49760D88"/>
    <w:rsid w:val="49B89FCA"/>
    <w:rsid w:val="49BE7A9C"/>
    <w:rsid w:val="49C5BDD3"/>
    <w:rsid w:val="49DE52CB"/>
    <w:rsid w:val="49E11669"/>
    <w:rsid w:val="4A0CA511"/>
    <w:rsid w:val="4AA68479"/>
    <w:rsid w:val="4B06BF8F"/>
    <w:rsid w:val="4B8E7AEC"/>
    <w:rsid w:val="4BF3396B"/>
    <w:rsid w:val="4BF5933E"/>
    <w:rsid w:val="4C0DEA2B"/>
    <w:rsid w:val="4C454BE9"/>
    <w:rsid w:val="4CE5F4BB"/>
    <w:rsid w:val="4CE6AB98"/>
    <w:rsid w:val="4D32631A"/>
    <w:rsid w:val="4D4436BF"/>
    <w:rsid w:val="4DA8285D"/>
    <w:rsid w:val="4E193955"/>
    <w:rsid w:val="4E3AFE67"/>
    <w:rsid w:val="4E48A7EB"/>
    <w:rsid w:val="4ED41DE2"/>
    <w:rsid w:val="4F4E770A"/>
    <w:rsid w:val="4F879C18"/>
    <w:rsid w:val="4FB69916"/>
    <w:rsid w:val="5002B43F"/>
    <w:rsid w:val="5006B9B4"/>
    <w:rsid w:val="501BEDEB"/>
    <w:rsid w:val="501D43B4"/>
    <w:rsid w:val="5047B490"/>
    <w:rsid w:val="506601EC"/>
    <w:rsid w:val="51286883"/>
    <w:rsid w:val="513997A5"/>
    <w:rsid w:val="51657B8A"/>
    <w:rsid w:val="5174EBD5"/>
    <w:rsid w:val="51924FBC"/>
    <w:rsid w:val="51957D05"/>
    <w:rsid w:val="51D5C4A3"/>
    <w:rsid w:val="51EADBCD"/>
    <w:rsid w:val="523B069E"/>
    <w:rsid w:val="5243BEB5"/>
    <w:rsid w:val="525ECCD5"/>
    <w:rsid w:val="5291EF70"/>
    <w:rsid w:val="535AD488"/>
    <w:rsid w:val="53C9D501"/>
    <w:rsid w:val="543A9E5E"/>
    <w:rsid w:val="54ADD966"/>
    <w:rsid w:val="54B22C10"/>
    <w:rsid w:val="54B68567"/>
    <w:rsid w:val="551CD5E1"/>
    <w:rsid w:val="55700887"/>
    <w:rsid w:val="558BC91B"/>
    <w:rsid w:val="5595B37D"/>
    <w:rsid w:val="55B537EC"/>
    <w:rsid w:val="55D1BE4C"/>
    <w:rsid w:val="55D2007B"/>
    <w:rsid w:val="55EAEF99"/>
    <w:rsid w:val="561AE391"/>
    <w:rsid w:val="5633935B"/>
    <w:rsid w:val="563E5852"/>
    <w:rsid w:val="567D467B"/>
    <w:rsid w:val="568C2A43"/>
    <w:rsid w:val="56DF3E13"/>
    <w:rsid w:val="57036588"/>
    <w:rsid w:val="5711BF63"/>
    <w:rsid w:val="57204E18"/>
    <w:rsid w:val="5769D706"/>
    <w:rsid w:val="576E86CA"/>
    <w:rsid w:val="58065F9D"/>
    <w:rsid w:val="58985AB6"/>
    <w:rsid w:val="58E1F3AE"/>
    <w:rsid w:val="5901B3B2"/>
    <w:rsid w:val="596FCD89"/>
    <w:rsid w:val="59D95BA9"/>
    <w:rsid w:val="5B316012"/>
    <w:rsid w:val="5B4A1E69"/>
    <w:rsid w:val="5B4B32C2"/>
    <w:rsid w:val="5B65308F"/>
    <w:rsid w:val="5BA6A9EB"/>
    <w:rsid w:val="5BD096C9"/>
    <w:rsid w:val="5C1F01A0"/>
    <w:rsid w:val="5CFA9CF6"/>
    <w:rsid w:val="5D2CDE52"/>
    <w:rsid w:val="5D556E04"/>
    <w:rsid w:val="5D725B44"/>
    <w:rsid w:val="5D936317"/>
    <w:rsid w:val="5D966C30"/>
    <w:rsid w:val="5DCC9417"/>
    <w:rsid w:val="5E18DB4B"/>
    <w:rsid w:val="5E3B67A7"/>
    <w:rsid w:val="5E53C1B0"/>
    <w:rsid w:val="5E93BD9D"/>
    <w:rsid w:val="5E9A27EB"/>
    <w:rsid w:val="5EA65410"/>
    <w:rsid w:val="5EC0E8E6"/>
    <w:rsid w:val="5FD92FBC"/>
    <w:rsid w:val="600F3CB8"/>
    <w:rsid w:val="6030C6BE"/>
    <w:rsid w:val="60BC8B56"/>
    <w:rsid w:val="6100511F"/>
    <w:rsid w:val="61033E95"/>
    <w:rsid w:val="610F03A9"/>
    <w:rsid w:val="61128732"/>
    <w:rsid w:val="61AAE50A"/>
    <w:rsid w:val="61CE887F"/>
    <w:rsid w:val="62194177"/>
    <w:rsid w:val="62260EE3"/>
    <w:rsid w:val="624A3FCA"/>
    <w:rsid w:val="626A8A55"/>
    <w:rsid w:val="62973765"/>
    <w:rsid w:val="62B68DC0"/>
    <w:rsid w:val="63089CA3"/>
    <w:rsid w:val="63719A4C"/>
    <w:rsid w:val="6381A497"/>
    <w:rsid w:val="63CB44F8"/>
    <w:rsid w:val="63E7AB7B"/>
    <w:rsid w:val="63FB4ACD"/>
    <w:rsid w:val="649837AF"/>
    <w:rsid w:val="651122DF"/>
    <w:rsid w:val="654C79D0"/>
    <w:rsid w:val="65C1EEBE"/>
    <w:rsid w:val="65F07EE9"/>
    <w:rsid w:val="65FB014E"/>
    <w:rsid w:val="668012FC"/>
    <w:rsid w:val="66B2FA86"/>
    <w:rsid w:val="6706E81F"/>
    <w:rsid w:val="673DC72D"/>
    <w:rsid w:val="6742A3FF"/>
    <w:rsid w:val="679FC074"/>
    <w:rsid w:val="67A83B96"/>
    <w:rsid w:val="67ADACC2"/>
    <w:rsid w:val="67E2CCEA"/>
    <w:rsid w:val="6824D2BE"/>
    <w:rsid w:val="684C073F"/>
    <w:rsid w:val="690EFBA8"/>
    <w:rsid w:val="691C60C9"/>
    <w:rsid w:val="697304B5"/>
    <w:rsid w:val="6990C6B6"/>
    <w:rsid w:val="69933B31"/>
    <w:rsid w:val="6A026BEE"/>
    <w:rsid w:val="6A15D0D6"/>
    <w:rsid w:val="6A272C2A"/>
    <w:rsid w:val="6AA94AEC"/>
    <w:rsid w:val="6AF41A47"/>
    <w:rsid w:val="6B290921"/>
    <w:rsid w:val="6B7C77A0"/>
    <w:rsid w:val="6BC640C4"/>
    <w:rsid w:val="6C527942"/>
    <w:rsid w:val="6CA120F5"/>
    <w:rsid w:val="6CD32BFF"/>
    <w:rsid w:val="6D6A5F29"/>
    <w:rsid w:val="6D6F0450"/>
    <w:rsid w:val="6D84CEF3"/>
    <w:rsid w:val="6DA48952"/>
    <w:rsid w:val="6DB383D5"/>
    <w:rsid w:val="6DD597EB"/>
    <w:rsid w:val="6DF2E6FB"/>
    <w:rsid w:val="6E2E45BD"/>
    <w:rsid w:val="6EAE4BDB"/>
    <w:rsid w:val="6F6564B9"/>
    <w:rsid w:val="6F89EC79"/>
    <w:rsid w:val="6F95E113"/>
    <w:rsid w:val="6FABAB99"/>
    <w:rsid w:val="707E544F"/>
    <w:rsid w:val="708C4E75"/>
    <w:rsid w:val="70C3AD01"/>
    <w:rsid w:val="70DCD5B3"/>
    <w:rsid w:val="7108C370"/>
    <w:rsid w:val="713CEC5A"/>
    <w:rsid w:val="71432CA0"/>
    <w:rsid w:val="717486ED"/>
    <w:rsid w:val="717C263C"/>
    <w:rsid w:val="71E4976E"/>
    <w:rsid w:val="7205B49E"/>
    <w:rsid w:val="7225982C"/>
    <w:rsid w:val="722CA18A"/>
    <w:rsid w:val="7241888B"/>
    <w:rsid w:val="72A504F7"/>
    <w:rsid w:val="7319AE1C"/>
    <w:rsid w:val="731A94F0"/>
    <w:rsid w:val="732CF6B7"/>
    <w:rsid w:val="733BBC76"/>
    <w:rsid w:val="737368A5"/>
    <w:rsid w:val="73AF459C"/>
    <w:rsid w:val="73D30A8D"/>
    <w:rsid w:val="73E5DDE5"/>
    <w:rsid w:val="741D26D1"/>
    <w:rsid w:val="7429C54E"/>
    <w:rsid w:val="7453B312"/>
    <w:rsid w:val="751E191B"/>
    <w:rsid w:val="75538C19"/>
    <w:rsid w:val="7563FA90"/>
    <w:rsid w:val="7578C810"/>
    <w:rsid w:val="75921D72"/>
    <w:rsid w:val="760123A0"/>
    <w:rsid w:val="76249192"/>
    <w:rsid w:val="7634C4C9"/>
    <w:rsid w:val="76754EC7"/>
    <w:rsid w:val="769CB0D9"/>
    <w:rsid w:val="7760F49E"/>
    <w:rsid w:val="77625D86"/>
    <w:rsid w:val="7763A624"/>
    <w:rsid w:val="7772918B"/>
    <w:rsid w:val="781710CE"/>
    <w:rsid w:val="7865CED7"/>
    <w:rsid w:val="787B3DBE"/>
    <w:rsid w:val="78A181AF"/>
    <w:rsid w:val="78A55419"/>
    <w:rsid w:val="790138C5"/>
    <w:rsid w:val="793EB4D7"/>
    <w:rsid w:val="795C3166"/>
    <w:rsid w:val="798F5C62"/>
    <w:rsid w:val="79D6BB6B"/>
    <w:rsid w:val="79DACC73"/>
    <w:rsid w:val="7A16A29B"/>
    <w:rsid w:val="7A588A96"/>
    <w:rsid w:val="7A591C8F"/>
    <w:rsid w:val="7A81EB4B"/>
    <w:rsid w:val="7A9057B0"/>
    <w:rsid w:val="7AD74777"/>
    <w:rsid w:val="7B3C42AB"/>
    <w:rsid w:val="7B562010"/>
    <w:rsid w:val="7B5E2555"/>
    <w:rsid w:val="7B72715F"/>
    <w:rsid w:val="7B7FF1A1"/>
    <w:rsid w:val="7BC35B56"/>
    <w:rsid w:val="7BE22268"/>
    <w:rsid w:val="7BF78CA9"/>
    <w:rsid w:val="7C0C2661"/>
    <w:rsid w:val="7C1264BC"/>
    <w:rsid w:val="7C39C517"/>
    <w:rsid w:val="7C5868AC"/>
    <w:rsid w:val="7CCD8DD7"/>
    <w:rsid w:val="7CEBDE84"/>
    <w:rsid w:val="7D16C503"/>
    <w:rsid w:val="7D3897F7"/>
    <w:rsid w:val="7D7277F3"/>
    <w:rsid w:val="7DAD90B7"/>
    <w:rsid w:val="7DB0656B"/>
    <w:rsid w:val="7DBD22CE"/>
    <w:rsid w:val="7DF5E954"/>
    <w:rsid w:val="7DF950D5"/>
    <w:rsid w:val="7E10FCE4"/>
    <w:rsid w:val="7E2D06ED"/>
    <w:rsid w:val="7E410EE0"/>
    <w:rsid w:val="7E819170"/>
    <w:rsid w:val="7EA2520B"/>
    <w:rsid w:val="7F161847"/>
    <w:rsid w:val="7F75D0D2"/>
    <w:rsid w:val="7F9A063B"/>
    <w:rsid w:val="7FE9602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2D92E"/>
  <w15:chartTrackingRefBased/>
  <w15:docId w15:val="{D17ABA84-33D2-4EAD-9716-FD719DA6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101"/>
    <w:pPr>
      <w:spacing w:line="360" w:lineRule="auto"/>
      <w:jc w:val="both"/>
    </w:pPr>
    <w:rPr>
      <w:rFonts w:ascii="Calibri" w:hAnsi="Calibri"/>
      <w:lang w:val="en-GB"/>
    </w:rPr>
  </w:style>
  <w:style w:type="paragraph" w:styleId="Ttulo1">
    <w:name w:val="heading 1"/>
    <w:basedOn w:val="Normal"/>
    <w:next w:val="Normal"/>
    <w:uiPriority w:val="9"/>
    <w:qFormat/>
    <w:rsid w:val="0C0F1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C0F1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autoRedefine/>
    <w:uiPriority w:val="9"/>
    <w:unhideWhenUsed/>
    <w:qFormat/>
    <w:rsid w:val="008773A4"/>
    <w:pPr>
      <w:keepNext/>
      <w:keepLines/>
      <w:spacing w:before="160" w:after="80"/>
      <w:outlineLvl w:val="2"/>
    </w:pPr>
    <w:rPr>
      <w:rFonts w:eastAsiaTheme="majorEastAsia" w:cstheme="majorBidi"/>
      <w:b/>
      <w:bCs/>
      <w:color w:val="0F4761" w:themeColor="accent1" w:themeShade="BF"/>
      <w:sz w:val="28"/>
      <w:szCs w:val="28"/>
    </w:rPr>
  </w:style>
  <w:style w:type="paragraph" w:styleId="Ttulo4">
    <w:name w:val="heading 4"/>
    <w:basedOn w:val="Normal"/>
    <w:next w:val="Normal"/>
    <w:autoRedefine/>
    <w:uiPriority w:val="9"/>
    <w:unhideWhenUsed/>
    <w:qFormat/>
    <w:rsid w:val="008773A4"/>
    <w:pPr>
      <w:keepNext/>
      <w:keepLines/>
      <w:spacing w:before="319" w:after="319"/>
      <w:outlineLvl w:val="3"/>
    </w:pPr>
    <w:rPr>
      <w:rFonts w:eastAsia="Aptos" w:cs="Aptos"/>
      <w:b/>
      <w:bCs/>
      <w:i/>
      <w:iCs/>
      <w:color w:val="0F4761" w:themeColor="accent1" w:themeShade="BF"/>
    </w:rPr>
  </w:style>
  <w:style w:type="paragraph" w:styleId="Ttulo5">
    <w:name w:val="heading 5"/>
    <w:basedOn w:val="Normal"/>
    <w:next w:val="Normal"/>
    <w:uiPriority w:val="9"/>
    <w:unhideWhenUsed/>
    <w:qFormat/>
    <w:rsid w:val="3EDDA7DD"/>
    <w:pPr>
      <w:keepNext/>
      <w:keepLines/>
      <w:spacing w:before="80" w:after="40"/>
      <w:outlineLvl w:val="4"/>
    </w:pPr>
    <w:rPr>
      <w:rFonts w:eastAsiaTheme="majorEastAsia"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58065F9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mmentText">
    <w:name w:val="Comment Text"/>
    <w:basedOn w:val="Normal"/>
    <w:link w:val="CommentTextChar"/>
    <w:uiPriority w:val="99"/>
    <w:unhideWhenUsed/>
    <w:pPr>
      <w:spacing w:line="240" w:lineRule="auto"/>
    </w:pPr>
    <w:rPr>
      <w:sz w:val="20"/>
      <w:szCs w:val="20"/>
    </w:rPr>
  </w:style>
  <w:style w:type="character" w:customStyle="1" w:styleId="CommentTextChar">
    <w:name w:val="Comment Text Char"/>
    <w:basedOn w:val="Fuentedeprrafopredeter"/>
    <w:link w:val="CommentText"/>
    <w:uiPriority w:val="99"/>
    <w:rPr>
      <w:sz w:val="20"/>
      <w:szCs w:val="20"/>
    </w:rPr>
  </w:style>
  <w:style w:type="character" w:customStyle="1" w:styleId="CommentReference">
    <w:name w:val="Comment Reference"/>
    <w:basedOn w:val="Fuentedeprrafopredeter"/>
    <w:uiPriority w:val="99"/>
    <w:semiHidden/>
    <w:unhideWhenUsed/>
    <w:rPr>
      <w:sz w:val="16"/>
      <w:szCs w:val="16"/>
    </w:rPr>
  </w:style>
  <w:style w:type="paragraph" w:styleId="Encabezado">
    <w:name w:val="header"/>
    <w:basedOn w:val="Normal"/>
    <w:uiPriority w:val="99"/>
    <w:unhideWhenUsed/>
    <w:rsid w:val="441EBDBB"/>
    <w:pPr>
      <w:tabs>
        <w:tab w:val="center" w:pos="4680"/>
        <w:tab w:val="right" w:pos="9360"/>
      </w:tabs>
      <w:spacing w:after="0" w:line="240" w:lineRule="auto"/>
    </w:pPr>
  </w:style>
  <w:style w:type="paragraph" w:styleId="Piedepgina">
    <w:name w:val="footer"/>
    <w:basedOn w:val="Normal"/>
    <w:link w:val="PiedepginaCar"/>
    <w:uiPriority w:val="99"/>
    <w:unhideWhenUsed/>
    <w:rsid w:val="441EBDBB"/>
    <w:pPr>
      <w:tabs>
        <w:tab w:val="center" w:pos="4680"/>
        <w:tab w:val="right" w:pos="9360"/>
      </w:tabs>
      <w:spacing w:after="0" w:line="240" w:lineRule="auto"/>
    </w:pPr>
  </w:style>
  <w:style w:type="paragraph" w:styleId="TDC3">
    <w:name w:val="toc 3"/>
    <w:basedOn w:val="Normal"/>
    <w:next w:val="Normal"/>
    <w:uiPriority w:val="39"/>
    <w:unhideWhenUsed/>
    <w:rsid w:val="441EBDBB"/>
    <w:pPr>
      <w:spacing w:after="100"/>
      <w:ind w:left="440"/>
    </w:pPr>
  </w:style>
  <w:style w:type="character" w:styleId="Hipervnculo">
    <w:name w:val="Hyperlink"/>
    <w:basedOn w:val="Fuentedeprrafopredeter"/>
    <w:uiPriority w:val="99"/>
    <w:unhideWhenUsed/>
    <w:rsid w:val="441EBDBB"/>
    <w:rPr>
      <w:color w:val="467886"/>
      <w:u w:val="single"/>
    </w:rPr>
  </w:style>
  <w:style w:type="paragraph" w:styleId="TDC4">
    <w:name w:val="toc 4"/>
    <w:basedOn w:val="Normal"/>
    <w:next w:val="Normal"/>
    <w:uiPriority w:val="39"/>
    <w:unhideWhenUsed/>
    <w:rsid w:val="441EBDBB"/>
    <w:pPr>
      <w:spacing w:after="100"/>
      <w:ind w:left="660"/>
    </w:pPr>
  </w:style>
  <w:style w:type="paragraph" w:styleId="TtuloTDC">
    <w:name w:val="TOC Heading"/>
    <w:basedOn w:val="Ttulo1"/>
    <w:next w:val="Normal"/>
    <w:uiPriority w:val="39"/>
    <w:unhideWhenUsed/>
    <w:qFormat/>
    <w:rsid w:val="00546101"/>
    <w:pPr>
      <w:spacing w:before="240" w:after="0" w:line="259" w:lineRule="auto"/>
      <w:jc w:val="left"/>
      <w:outlineLvl w:val="9"/>
    </w:pPr>
    <w:rPr>
      <w:sz w:val="32"/>
      <w:szCs w:val="32"/>
      <w:lang w:eastAsia="en-GB"/>
    </w:rPr>
  </w:style>
  <w:style w:type="paragraph" w:styleId="TDC1">
    <w:name w:val="toc 1"/>
    <w:basedOn w:val="Normal"/>
    <w:next w:val="Normal"/>
    <w:autoRedefine/>
    <w:uiPriority w:val="39"/>
    <w:semiHidden/>
    <w:unhideWhenUsed/>
    <w:rsid w:val="000878FD"/>
    <w:pPr>
      <w:spacing w:after="100"/>
    </w:pPr>
  </w:style>
  <w:style w:type="paragraph" w:styleId="Tabladeilustraciones">
    <w:name w:val="table of figures"/>
    <w:basedOn w:val="Normal"/>
    <w:next w:val="Normal"/>
    <w:uiPriority w:val="99"/>
    <w:semiHidden/>
    <w:unhideWhenUsed/>
    <w:rsid w:val="000878FD"/>
    <w:pPr>
      <w:spacing w:after="0"/>
    </w:pPr>
  </w:style>
  <w:style w:type="paragraph" w:customStyle="1" w:styleId="CommentSubject">
    <w:name w:val="Comment Subject"/>
    <w:basedOn w:val="CommentText"/>
    <w:next w:val="CommentText"/>
    <w:link w:val="CommentSubjectChar"/>
    <w:uiPriority w:val="99"/>
    <w:semiHidden/>
    <w:unhideWhenUsed/>
    <w:rsid w:val="000878FD"/>
    <w:rPr>
      <w:b/>
      <w:bCs/>
    </w:rPr>
  </w:style>
  <w:style w:type="character" w:customStyle="1" w:styleId="CommentSubjectChar">
    <w:name w:val="Comment Subject Char"/>
    <w:basedOn w:val="CommentTextChar"/>
    <w:link w:val="CommentSubject"/>
    <w:uiPriority w:val="99"/>
    <w:semiHidden/>
    <w:rsid w:val="000878FD"/>
    <w:rPr>
      <w:rFonts w:ascii="Calibri" w:hAnsi="Calibri"/>
      <w:b/>
      <w:bCs/>
      <w:sz w:val="20"/>
      <w:szCs w:val="20"/>
    </w:rPr>
  </w:style>
  <w:style w:type="paragraph" w:styleId="Descripcin">
    <w:name w:val="caption"/>
    <w:basedOn w:val="Normal"/>
    <w:next w:val="Normal"/>
    <w:uiPriority w:val="35"/>
    <w:unhideWhenUsed/>
    <w:qFormat/>
    <w:rsid w:val="001364E4"/>
    <w:pPr>
      <w:spacing w:after="200" w:line="240" w:lineRule="auto"/>
    </w:pPr>
    <w:rPr>
      <w:i/>
      <w:iCs/>
      <w:color w:val="0E2841" w:themeColor="text2"/>
      <w:sz w:val="18"/>
      <w:szCs w:val="18"/>
    </w:rPr>
  </w:style>
  <w:style w:type="character" w:customStyle="1" w:styleId="PiedepginaCar">
    <w:name w:val="Pie de página Car"/>
    <w:basedOn w:val="Fuentedeprrafopredeter"/>
    <w:link w:val="Piedepgina"/>
    <w:uiPriority w:val="99"/>
    <w:rsid w:val="001364E4"/>
    <w:rPr>
      <w:rFonts w:ascii="Calibri" w:hAnsi="Calibri"/>
      <w:lang w:val="en-GB"/>
    </w:rPr>
  </w:style>
  <w:style w:type="paragraph" w:customStyle="1" w:styleId="Ttulo10">
    <w:name w:val="Título1"/>
    <w:basedOn w:val="Normal"/>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ranslatedLang xmlns="55fa6559-6548-493a-bddc-9eba090e1cd4" xsi:nil="true"/>
    <lcf76f155ced4ddcb4097134ff3c332f xmlns="55fa6559-6548-493a-bddc-9eba090e1cd4">
      <Terms xmlns="http://schemas.microsoft.com/office/infopath/2007/PartnerControls"/>
    </lcf76f155ced4ddcb4097134ff3c332f>
    <TaxCatchAll xmlns="e07ec2dc-b44d-4cb9-bd12-5a2a513b4fbd" xsi:nil="true"/>
    <Notes_x002f_Comments xmlns="55fa6559-6548-493a-bddc-9eba090e1c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95E66836DC97340ABDAAF1455FC752E" ma:contentTypeVersion="18" ma:contentTypeDescription="Create a new document." ma:contentTypeScope="" ma:versionID="10ea6731051b7bc32a652ff7d9fd149d">
  <xsd:schema xmlns:xsd="http://www.w3.org/2001/XMLSchema" xmlns:xs="http://www.w3.org/2001/XMLSchema" xmlns:p="http://schemas.microsoft.com/office/2006/metadata/properties" xmlns:ns2="55fa6559-6548-493a-bddc-9eba090e1cd4" xmlns:ns3="e07ec2dc-b44d-4cb9-bd12-5a2a513b4fbd" targetNamespace="http://schemas.microsoft.com/office/2006/metadata/properties" ma:root="true" ma:fieldsID="094bcc526e6a4992a9a84b953f5a8ec0" ns2:_="" ns3:_="">
    <xsd:import namespace="55fa6559-6548-493a-bddc-9eba090e1cd4"/>
    <xsd:import namespace="e07ec2dc-b44d-4cb9-bd12-5a2a513b4fb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MediaServiceSearchProperties" minOccurs="0"/>
                <xsd:element ref="ns2:TranslatedLang" minOccurs="0"/>
                <xsd:element ref="ns2:MediaServiceBillingMetadata" minOccurs="0"/>
                <xsd:element ref="ns2:Notes_x002f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a6559-6548-493a-bddc-9eba090e1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ranslatedLang" ma:index="23" nillable="true" ma:displayName="Translated Language" ma:internalName="TranslatedLang">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Notes_x002f_Comments" ma:index="25" nillable="true" ma:displayName="Notes/Comments" ma:format="Dropdown" ma:internalName="Notes_x002f_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7ec2dc-b44d-4cb9-bd12-5a2a513b4f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2596f74-d849-4044-ad04-517e07ee4e8a}" ma:internalName="TaxCatchAll" ma:showField="CatchAllData" ma:web="e07ec2dc-b44d-4cb9-bd12-5a2a513b4f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F8640-4578-43E0-B025-AE4F85A6B19F}">
  <ds:schemaRefs>
    <ds:schemaRef ds:uri="http://schemas.openxmlformats.org/officeDocument/2006/bibliography"/>
  </ds:schemaRefs>
</ds:datastoreItem>
</file>

<file path=customXml/itemProps2.xml><?xml version="1.0" encoding="utf-8"?>
<ds:datastoreItem xmlns:ds="http://schemas.openxmlformats.org/officeDocument/2006/customXml" ds:itemID="{AFDFD593-933C-43BE-98F5-5C5B7E88BDC6}">
  <ds:schemaRefs>
    <ds:schemaRef ds:uri="http://schemas.microsoft.com/office/2006/metadata/properties"/>
    <ds:schemaRef ds:uri="http://schemas.microsoft.com/office/infopath/2007/PartnerControls"/>
    <ds:schemaRef ds:uri="55fa6559-6548-493a-bddc-9eba090e1cd4"/>
    <ds:schemaRef ds:uri="e07ec2dc-b44d-4cb9-bd12-5a2a513b4fbd"/>
  </ds:schemaRefs>
</ds:datastoreItem>
</file>

<file path=customXml/itemProps3.xml><?xml version="1.0" encoding="utf-8"?>
<ds:datastoreItem xmlns:ds="http://schemas.openxmlformats.org/officeDocument/2006/customXml" ds:itemID="{58FDF39A-306E-423E-A34B-2015B5072F5C}">
  <ds:schemaRefs>
    <ds:schemaRef ds:uri="http://schemas.microsoft.com/sharepoint/v3/contenttype/forms"/>
  </ds:schemaRefs>
</ds:datastoreItem>
</file>

<file path=customXml/itemProps4.xml><?xml version="1.0" encoding="utf-8"?>
<ds:datastoreItem xmlns:ds="http://schemas.openxmlformats.org/officeDocument/2006/customXml" ds:itemID="{7B014B28-67A9-4A43-86E3-256BD0560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a6559-6548-493a-bddc-9eba090e1cd4"/>
    <ds:schemaRef ds:uri="e07ec2dc-b44d-4cb9-bd12-5a2a513b4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4439</Words>
  <Characters>24420</Characters>
  <Application>Microsoft Office Word</Application>
  <DocSecurity>0</DocSecurity>
  <Lines>203</Lines>
  <Paragraphs>57</Paragraphs>
  <ScaleCrop>false</ScaleCrop>
  <Company/>
  <LinksUpToDate>false</LinksUpToDate>
  <CharactersWithSpaces>28802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ANFORA Innovator Indicators Review Revision 2</dc:title>
  <dc:subject>Critical second review and internal draft for monitoring 1 March to 31 August 2026</dc:subject>
  <dc:creator>Evenor-Tech S.L.U.</dc:creator>
  <cp:keywords/>
  <dc:description/>
  <cp:lastModifiedBy>Jesús Vázquez</cp:lastModifiedBy>
  <cp:revision>19</cp:revision>
  <dcterms:created xsi:type="dcterms:W3CDTF">2025-11-04T15:22:00Z</dcterms:created>
  <dcterms:modified xsi:type="dcterms:W3CDTF">2026-10-20T11:16:00Z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0x010100F95E66836DC97340ABDAAF1455FC752E</vt:lpwstr>
  </property>
  <property fmtid="{D5CDD505-2E9C-101B-9397-08002B2CF9AE}" pid="3" name="MediaServiceImageTags">
    <vt:lpwstr/>
  </property>
  <property fmtid="{D5CDD505-2E9C-101B-9397-08002B2CF9AE}" pid="4" name="GrammarlyDocumentId">
    <vt:lpwstr>3f5d08ba-2dcd-464b-a3fa-687b959c068e</vt:lpwstr>
  </property>
</Properties>
</file>