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pStyle w:val="Heading1"/>
      </w:pPr>
      <w:r>
        <w:rPr>
          <w:color w:val="#000000"/>
          <w:rFonts w:ascii="Microsoft YaHei" w:cs="Microsoft YaHei" w:eastAsia="Microsoft YaHei" w:hAnsi="Microsoft YaHei"/>
        </w:rPr>
        <w:t xml:space="preserve">人工智能导论第四章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文件[4]《第4章 机器学习.pptx》涵盖了机器学习的基础知识，重点知识和考点包括：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1. 机器学习概述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定义：机器学习（Machine Learning, ML）的定义及其一般流程。机器模拟学习人的行为。</w:t>
      </w:r>
      <w:r>
        <w:rPr>
          <w:sz w:val="20"/>
          <w:szCs w:val="20"/>
          <w:rFonts w:ascii="Microsoft YaHei" w:cs="Microsoft YaHei" w:eastAsia="Microsoft YaHei" w:hAnsi="Microsoft YaHei"/>
          <w:shd w:val="clear" w:fill="#ffff00" w:color="#ffff00"/>
          <w:shdCs w:val="clear" w:fill="#ffff00" w:color="#ffff00"/>
        </w:rPr>
        <w:t xml:space="preserve">模型=数据+算法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发展历程：机器学习的发展阶段及其关键事件。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1949神经元学习-1950图灵测试-1956机器学习-1957感知机-1969异或问题（第一次寒冬）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1981反向传播算法，多层感知机-1995支持向量机-1991梯度消失（第二次寒冬）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2006深度学习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2. 机器学习的类型【</w:t>
      </w:r>
      <w:r>
        <w:rPr>
          <w:sz w:val="20"/>
          <w:szCs w:val="20"/>
          <w:rFonts w:ascii="Microsoft YaHei" w:cs="Microsoft YaHei" w:eastAsia="Microsoft YaHei" w:hAnsi="Microsoft YaHei"/>
          <w:shd w:val="clear" w:fill="#ffff00" w:color="#ffff00"/>
          <w:shdCs w:val="clear" w:fill="#ffff00" w:color="#ffff00"/>
        </w:rPr>
        <w:t xml:space="preserve">监督——标签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】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监督学习：</w:t>
      </w:r>
      <w:r>
        <w:rPr>
          <w:sz w:val="20"/>
          <w:szCs w:val="20"/>
          <w:rFonts w:ascii="Microsoft YaHei" w:cs="Microsoft YaHei" w:eastAsia="Microsoft YaHei" w:hAnsi="Microsoft YaHei"/>
          <w:shd w:val="clear" w:fill="#ffff00" w:color="#ffff00"/>
          <w:shdCs w:val="clear" w:fill="#ffff00" w:color="#ffff00"/>
        </w:rPr>
        <w:t xml:space="preserve">分类（离散）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和</w:t>
      </w:r>
      <w:r>
        <w:rPr>
          <w:sz w:val="20"/>
          <w:szCs w:val="20"/>
          <w:rFonts w:ascii="Microsoft YaHei" w:cs="Microsoft YaHei" w:eastAsia="Microsoft YaHei" w:hAnsi="Microsoft YaHei"/>
          <w:shd w:val="clear" w:fill="#ffff00" w:color="#ffff00"/>
          <w:shdCs w:val="clear" w:fill="#ffff00" w:color="#ffff00"/>
        </w:rPr>
        <w:t xml:space="preserve">回归（连续）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任务。——有标签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分类：</w:t>
      </w:r>
    </w:p>
    <w:p>
      <w:pPr>
        <w:pStyle w:val="ListParagraph"/>
        <w:numPr>
          <w:ilvl w:val="4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  <w:shd w:val="clear" w:fill="#ffff00" w:color="#ffff00"/>
          <w:shdCs w:val="clear" w:fill="#ffff00" w:color="#ffff00"/>
        </w:rPr>
        <w:t xml:space="preserve">K近邻（KNN）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：基本原理和要素。</w:t>
      </w:r>
    </w:p>
    <w:p>
      <w:pPr>
        <w:pStyle w:val="ListParagraph"/>
        <w:numPr>
          <w:ilvl w:val="5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基本思想：对于输入x，kNN先在训练集寻找k个近邻（训练样本），再按“少数服从多数”对x进行分类。</w:t>
      </w:r>
    </w:p>
    <w:p>
      <w:pPr>
        <w:pStyle w:val="ListParagraph"/>
        <w:numPr>
          <w:ilvl w:val="5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kNN有三个基本要素：</w:t>
      </w:r>
      <w:r>
        <w:rPr>
          <w:sz w:val="20"/>
          <w:szCs w:val="20"/>
          <w:rFonts w:ascii="Microsoft YaHei" w:cs="Microsoft YaHei" w:eastAsia="Microsoft YaHei" w:hAnsi="Microsoft YaHei"/>
          <w:shd w:val="clear" w:fill="#ffff00" w:color="#ffff00"/>
          <w:shdCs w:val="clear" w:fill="#ffff00" w:color="#ffff00"/>
        </w:rPr>
        <w:t xml:space="preserve">k值的选择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，</w:t>
      </w:r>
      <w:r>
        <w:rPr>
          <w:sz w:val="20"/>
          <w:szCs w:val="20"/>
          <w:rFonts w:ascii="Microsoft YaHei" w:cs="Microsoft YaHei" w:eastAsia="Microsoft YaHei" w:hAnsi="Microsoft YaHei"/>
          <w:shd w:val="clear" w:fill="#ffff00" w:color="#ffff00"/>
          <w:shdCs w:val="clear" w:fill="#ffff00" w:color="#ffff00"/>
        </w:rPr>
        <w:t xml:space="preserve">距离度量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和</w:t>
      </w:r>
      <w:r>
        <w:rPr>
          <w:sz w:val="20"/>
          <w:szCs w:val="20"/>
          <w:rFonts w:ascii="Microsoft YaHei" w:cs="Microsoft YaHei" w:eastAsia="Microsoft YaHei" w:hAnsi="Microsoft YaHei"/>
          <w:shd w:val="clear" w:fill="#ffff00" w:color="#ffff00"/>
          <w:shdCs w:val="clear" w:fill="#ffff00" w:color="#ffff00"/>
        </w:rPr>
        <w:t xml:space="preserve">分类决策规则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。</w:t>
      </w:r>
    </w:p>
    <w:p>
      <w:pPr>
        <w:pStyle w:val="ListParagraph"/>
        <w:numPr>
          <w:ilvl w:val="4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  <w:shd w:val="clear" w:fill="#ffff00" w:color="#ffff00"/>
          <w:shdCs w:val="clear" w:fill="#ffff00" w:color="#ffff00"/>
        </w:rPr>
        <w:t xml:space="preserve">线性判别分析（LDA）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：降维和分类同时进行。</w:t>
      </w:r>
    </w:p>
    <w:p>
      <w:pPr>
        <w:pStyle w:val="ListParagraph"/>
        <w:numPr>
          <w:ilvl w:val="5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在给定的两类训练样本集上，寻找一个最佳的</w:t>
      </w:r>
      <w:r>
        <w:rPr>
          <w:sz w:val="20"/>
          <w:szCs w:val="20"/>
          <w:rFonts w:ascii="Microsoft YaHei" w:cs="Microsoft YaHei" w:eastAsia="Microsoft YaHei" w:hAnsi="Microsoft YaHei"/>
          <w:shd w:val="clear" w:fill="#ffff00" w:color="#ffff00"/>
          <w:shdCs w:val="clear" w:fill="#ffff00" w:color="#ffff00"/>
        </w:rPr>
        <w:t xml:space="preserve">投影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方向，如将样本投影到直线l上，期望达到的目标是：同类样本的投影应尽可能“近”，异类样本的投影应尽可能“远”。在对新样本x进行分类时，也先将x投影到直线l上，再根据x的投影点到两类投影中心的位置来决定新样本的类别。</w:t>
      </w:r>
    </w:p>
    <w:p>
      <w:pPr>
        <w:pStyle w:val="ListParagraph"/>
        <w:numPr>
          <w:ilvl w:val="5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贡献与不足：</w:t>
      </w:r>
    </w:p>
    <w:p>
      <w:pPr>
        <w:pStyle w:val="ListParagraph"/>
        <w:numPr>
          <w:ilvl w:val="6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主要贡献：</w:t>
      </w:r>
    </w:p>
    <w:p>
      <w:pPr>
        <w:pStyle w:val="ListParagraph"/>
        <w:numPr>
          <w:ilvl w:val="7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（1）降维和分类同时进行</w:t>
      </w:r>
    </w:p>
    <w:p>
      <w:pPr>
        <w:pStyle w:val="ListParagraph"/>
        <w:numPr>
          <w:ilvl w:val="7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（2）解是一个数学表达式，具有解析解</w:t>
      </w:r>
    </w:p>
    <w:p>
      <w:pPr>
        <w:pStyle w:val="ListParagraph"/>
        <w:numPr>
          <w:ilvl w:val="7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（3）尺度不变</w:t>
      </w:r>
    </w:p>
    <w:p>
      <w:pPr>
        <w:pStyle w:val="ListParagraph"/>
        <w:numPr>
          <w:ilvl w:val="6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主要不足： </w:t>
      </w:r>
    </w:p>
    <w:p>
      <w:pPr>
        <w:pStyle w:val="ListParagraph"/>
        <w:numPr>
          <w:ilvl w:val="7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（1）线性分类</w:t>
      </w:r>
    </w:p>
    <w:p>
      <w:pPr>
        <w:pStyle w:val="ListParagraph"/>
        <w:numPr>
          <w:ilvl w:val="7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（2）</w:t>
      </w:r>
      <w:r>
        <w:rPr>
          <w:sz w:val="20"/>
          <w:szCs w:val="20"/>
          <w:rFonts w:ascii="Microsoft YaHei" w:cs="Microsoft YaHei" w:eastAsia="Microsoft YaHei" w:hAnsi="Microsoft YaHei"/>
          <w:shd w:val="clear" w:fill="#ffff00" w:color="#ffff00"/>
          <w:shdCs w:val="clear" w:fill="#ffff00" w:color="#ffff00"/>
        </w:rPr>
        <w:t xml:space="preserve">只能解决两分类</w:t>
      </w:r>
    </w:p>
    <w:p>
      <w:pPr>
        <w:pStyle w:val="ListParagraph"/>
        <w:numPr>
          <w:ilvl w:val="7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（3）基于正态分布假设</w:t>
      </w:r>
    </w:p>
    <w:p>
      <w:pPr>
        <w:pStyle w:val="ListParagraph"/>
        <w:numPr>
          <w:ilvl w:val="4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  <w:shd w:val="clear" w:fill="#ffff00" w:color="#ffff00"/>
          <w:shdCs w:val="clear" w:fill="#ffff00" w:color="#ffff00"/>
        </w:rPr>
        <w:t xml:space="preserve">支持向量机（SVM）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：寻找最佳超平面和核方法。</w:t>
      </w:r>
    </w:p>
    <w:p>
      <w:pPr>
        <w:pStyle w:val="ListParagraph"/>
        <w:numPr>
          <w:ilvl w:val="5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基本思想：寻找一个最佳的</w:t>
      </w:r>
      <w:r>
        <w:rPr>
          <w:sz w:val="20"/>
          <w:szCs w:val="20"/>
          <w:rFonts w:ascii="Microsoft YaHei" w:cs="Microsoft YaHei" w:eastAsia="Microsoft YaHei" w:hAnsi="Microsoft YaHei"/>
          <w:shd w:val="clear" w:fill="#ffff00" w:color="#ffff00"/>
          <w:shdCs w:val="clear" w:fill="#ffff00" w:color="#ffff00"/>
        </w:rPr>
        <w:t xml:space="preserve">超平面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，实现两类样本的</w:t>
      </w:r>
      <w:r>
        <w:rPr>
          <w:sz w:val="20"/>
          <w:szCs w:val="20"/>
          <w:rFonts w:ascii="Microsoft YaHei" w:cs="Microsoft YaHei" w:eastAsia="Microsoft YaHei" w:hAnsi="Microsoft YaHei"/>
          <w:shd w:val="clear" w:fill="#ffff00" w:color="#ffff00"/>
          <w:shdCs w:val="clear" w:fill="#ffff00" w:color="#ffff00"/>
        </w:rPr>
        <w:t xml:space="preserve">间隔最大化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。</w:t>
      </w:r>
    </w:p>
    <w:p>
      <w:pPr>
        <w:pStyle w:val="ListParagraph"/>
        <w:numPr>
          <w:ilvl w:val="5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正中间的：鲁棒性好，泛化力强。</w:t>
      </w:r>
    </w:p>
    <w:p>
      <w:pPr>
        <w:pStyle w:val="ListParagraph"/>
        <w:numPr>
          <w:ilvl w:val="5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  <w:shd w:val="clear" w:fill="#ffff00" w:color="#ffff00"/>
          <w:shdCs w:val="clear" w:fill="#ffff00" w:color="#ffff00"/>
        </w:rPr>
        <w:t xml:space="preserve">核方法：低维</w:t>
      </w:r>
      <w:r>
        <w:rPr>
          <w:sz w:val="20"/>
          <w:szCs w:val="20"/>
          <w:rFonts w:ascii="Microsoft YaHei" w:cs="Microsoft YaHei" w:eastAsia="Microsoft YaHei" w:hAnsi="Microsoft YaHei"/>
          <w:shd w:val="clear" w:fill="#ffff00" w:color="#ffff00"/>
          <w:shdCs w:val="clear" w:fill="#ffff00" w:color="#ffff00"/>
        </w:rPr>
        <w:t xml:space="preserve">\rightarrow</w:t>
      </w:r>
      <w:r>
        <w:rPr>
          <w:sz w:val="20"/>
          <w:szCs w:val="20"/>
          <w:rFonts w:ascii="Microsoft YaHei" w:cs="Microsoft YaHei" w:eastAsia="Microsoft YaHei" w:hAnsi="Microsoft YaHei"/>
          <w:shd w:val="clear" w:fill="#ffff00" w:color="#ffff00"/>
          <w:shdCs w:val="clear" w:fill="#ffff00" w:color="#ffff00"/>
        </w:rPr>
        <w:t xml:space="preserve">高维，线性不可分</w:t>
      </w:r>
      <w:r>
        <w:rPr>
          <w:sz w:val="20"/>
          <w:szCs w:val="20"/>
          <w:rFonts w:ascii="Microsoft YaHei" w:cs="Microsoft YaHei" w:eastAsia="Microsoft YaHei" w:hAnsi="Microsoft YaHei"/>
          <w:shd w:val="clear" w:fill="#ffff00" w:color="#ffff00"/>
          <w:shdCs w:val="clear" w:fill="#ffff00" w:color="#ffff00"/>
        </w:rPr>
        <w:t xml:space="preserve">\rightarrow</w:t>
      </w:r>
      <w:r>
        <w:rPr>
          <w:sz w:val="20"/>
          <w:szCs w:val="20"/>
          <w:rFonts w:ascii="Microsoft YaHei" w:cs="Microsoft YaHei" w:eastAsia="Microsoft YaHei" w:hAnsi="Microsoft YaHei"/>
          <w:shd w:val="clear" w:fill="#ffff00" w:color="#ffff00"/>
          <w:shdCs w:val="clear" w:fill="#ffff00" w:color="#ffff00"/>
        </w:rPr>
        <w:t xml:space="preserve">线性可分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回归：</w:t>
      </w:r>
    </w:p>
    <w:p>
      <w:pPr>
        <w:pStyle w:val="ListParagraph"/>
        <w:numPr>
          <w:ilvl w:val="4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  <w:shd w:val="clear" w:fill="#ffff00" w:color="#ffff00"/>
          <w:shdCs w:val="clear" w:fill="#ffff00" w:color="#ffff00"/>
        </w:rPr>
        <w:t xml:space="preserve">线性回归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：回归分析的基本思想和应用。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无监督学习：</w:t>
      </w:r>
      <w:r>
        <w:rPr>
          <w:sz w:val="20"/>
          <w:szCs w:val="20"/>
          <w:rFonts w:ascii="Microsoft YaHei" w:cs="Microsoft YaHei" w:eastAsia="Microsoft YaHei" w:hAnsi="Microsoft YaHei"/>
          <w:shd w:val="clear" w:fill="#ffff00" w:color="#ffff00"/>
          <w:shdCs w:val="clear" w:fill="#ffff00" w:color="#ffff00"/>
        </w:rPr>
        <w:t xml:space="preserve">聚类分析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（同簇数据更相似）和关联规则。——无标签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聚类：</w:t>
      </w:r>
    </w:p>
    <w:p>
      <w:pPr>
        <w:pStyle w:val="ListParagraph"/>
        <w:numPr>
          <w:ilvl w:val="4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  <w:shd w:val="clear" w:fill="#ffff00" w:color="#ffff00"/>
          <w:shdCs w:val="clear" w:fill="#ffff00" w:color="#ffff00"/>
        </w:rPr>
        <w:t xml:space="preserve">K均值聚类（K-means）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：原型聚类的典型代表。</w:t>
      </w:r>
    </w:p>
    <w:p>
      <w:pPr>
        <w:pStyle w:val="ListParagraph"/>
        <w:numPr>
          <w:ilvl w:val="5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过程：初始聚类中心-样本归簇-聚类更新-（</w:t>
      </w:r>
      <w:r>
        <w:rPr>
          <w:sz w:val="20"/>
          <w:szCs w:val="20"/>
          <w:rFonts w:ascii="Microsoft YaHei" w:cs="Microsoft YaHei" w:eastAsia="Microsoft YaHei" w:hAnsi="Microsoft YaHei"/>
          <w:shd w:val="clear" w:fill="#ffff00" w:color="#ffff00"/>
          <w:shdCs w:val="clear" w:fill="#ffff00" w:color="#ffff00"/>
        </w:rPr>
        <w:t xml:space="preserve">簇中心不变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）-聚类结果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半监督学习：利用少量有标签数据和大量无标签数据进行学习（直推和归纳）。——少标签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生成模型/自训练/协同训练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  <w:shd w:val="clear" w:fill="#ffff00" w:color="#ffff00"/>
          <w:shdCs w:val="clear" w:fill="#ffff00" w:color="#ffff00"/>
        </w:rPr>
        <w:t xml:space="preserve">半监督支持向量机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：在少量有标签样本和大量无标签样本上进行模型训练，最终目标是：对大量无标签训练样本进行类别标记。</w:t>
      </w:r>
    </w:p>
    <w:p>
      <w:pPr>
        <w:pStyle w:val="ListParagraph"/>
        <w:numPr>
          <w:ilvl w:val="4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过程：反复更新伪标签直到</w:t>
      </w:r>
      <w:r>
        <w:rPr>
          <w:sz w:val="20"/>
          <w:szCs w:val="20"/>
          <w:rFonts w:ascii="Microsoft YaHei" w:cs="Microsoft YaHei" w:eastAsia="Microsoft YaHei" w:hAnsi="Microsoft YaHei"/>
          <w:shd w:val="clear" w:fill="#ffff00" w:color="#ffff00"/>
          <w:shdCs w:val="clear" w:fill="#ffff00" w:color="#ffff00"/>
        </w:rPr>
        <w:t xml:space="preserve">信任度足够高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。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强化学习：通过试错学习。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3. 机器学习的应用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目标检测：在图像或视频中确定物体位置和识别物体类别。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文本分类：情感分析、垃圾邮件过滤等。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交通流预测：实时感知高速公路交通事件。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森林火灾风险预测：利用逻辑回归和随机森林模型进行风险预测。</w:t>
      </w:r>
    </w:p>
    <w:sectPr>
      <w:pgSz w:w="11906" w:h="16838" w:orient="portrait"/>
      <w:pgMar w:top="1440" w:right="1440" w:bottom="1440" w:left="1440" w:header="708" w:footer="708" w:gutter="0" w:mirrorMargins="false"/>
      <w:cols w:space="708" w:num="1"/>
      <w:docGrid w:linePitch="360"/>
      <w:headerReference w:type="default" r:id="rId5"/>
      <w:footerReference w:type="default" r:id="rId6"/>
    </w:sectPr>
  </w:body>
</w:document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multiLevelType w:val="hybridMultilevel"/>
    <w:lvl w:ilvl="0" w15:tentative="1">
      <w:start w:val="1"/>
      <w:lvlJc w:val="left"/>
      <w:numFmt w:val="bullet"/>
      <w:lvlText w:val="●"/>
      <w:pPr>
        <w:ind w:left="720" w:hanging="360"/>
      </w:pPr>
    </w:lvl>
    <w:lvl w:ilvl="1" w15:tentative="1">
      <w:start w:val="1"/>
      <w:lvlJc w:val="left"/>
      <w:numFmt w:val="bullet"/>
      <w:lvlText w:val="○"/>
      <w:pPr>
        <w:ind w:left="1440" w:hanging="360"/>
      </w:pPr>
    </w:lvl>
    <w:lvl w:ilvl="2" w15:tentative="1">
      <w:start w:val="1"/>
      <w:lvlJc w:val="left"/>
      <w:numFmt w:val="bullet"/>
      <w:lvlText w:val="■"/>
      <w:pPr>
        <w:ind w:left="2160" w:hanging="360"/>
      </w:pPr>
    </w:lvl>
    <w:lvl w:ilvl="3" w15:tentative="1">
      <w:start w:val="1"/>
      <w:lvlJc w:val="left"/>
      <w:numFmt w:val="bullet"/>
      <w:lvlText w:val="●"/>
      <w:pPr>
        <w:ind w:left="2880" w:hanging="360"/>
      </w:pPr>
    </w:lvl>
    <w:lvl w:ilvl="4" w15:tentative="1">
      <w:start w:val="1"/>
      <w:lvlJc w:val="left"/>
      <w:numFmt w:val="bullet"/>
      <w:lvlText w:val="○"/>
      <w:pPr>
        <w:ind w:left="3600" w:hanging="360"/>
      </w:pPr>
    </w:lvl>
    <w:lvl w:ilvl="5" w15:tentative="1">
      <w:start w:val="1"/>
      <w:lvlJc w:val="left"/>
      <w:numFmt w:val="bullet"/>
      <w:lvlText w:val="■"/>
      <w:pPr>
        <w:ind w:left="4320" w:hanging="360"/>
      </w:pPr>
    </w:lvl>
    <w:lvl w:ilvl="6" w15:tentative="1">
      <w:start w:val="1"/>
      <w:lvlJc w:val="left"/>
      <w:numFmt w:val="bullet"/>
      <w:lvlText w:val="●"/>
      <w:pPr>
        <w:ind w:left="5040" w:hanging="360"/>
      </w:pPr>
    </w:lvl>
    <w:lvl w:ilvl="7" w15:tentative="1">
      <w:start w:val="1"/>
      <w:lvlJc w:val="left"/>
      <w:numFmt w:val="bullet"/>
      <w:lvlText w:val="●"/>
      <w:pPr>
        <w:ind w:left="5760" w:hanging="360"/>
      </w:pPr>
    </w:lvl>
    <w:lvl w:ilvl="8" w15:tentative="1">
      <w:start w:val="1"/>
      <w:lvlJc w:val="left"/>
      <w:numFmt w:val="bullet"/>
      <w:lvlText w:val="●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Jc w:val="start"/>
      <w:lvlText w:val="●"/>
      <w:pPr>
        <w:ind w:left="0" w:hanging="200"/>
        <w:spacing w:before="100" w:after="100"/>
      </w:pPr>
    </w:lvl>
    <w:lvl w:ilvl="1" w15:tentative="1">
      <w:start w:val="1"/>
      <w:lvlJc w:val="start"/>
      <w:lvlText w:val="●"/>
      <w:pPr>
        <w:ind w:left="350" w:hanging="200"/>
        <w:spacing w:before="100" w:after="100"/>
      </w:pPr>
    </w:lvl>
    <w:lvl w:ilvl="2" w15:tentative="1">
      <w:start w:val="1"/>
      <w:lvlJc w:val="start"/>
      <w:lvlText w:val="●"/>
      <w:pPr>
        <w:ind w:left="700" w:hanging="200"/>
        <w:spacing w:before="100" w:after="100"/>
      </w:pPr>
    </w:lvl>
    <w:lvl w:ilvl="3" w15:tentative="1">
      <w:start w:val="1"/>
      <w:lvlJc w:val="start"/>
      <w:lvlText w:val="●"/>
      <w:pPr>
        <w:ind w:left="1050" w:hanging="200"/>
        <w:spacing w:before="100" w:after="100"/>
      </w:pPr>
    </w:lvl>
    <w:lvl w:ilvl="4" w15:tentative="1">
      <w:start w:val="1"/>
      <w:lvlJc w:val="start"/>
      <w:lvlText w:val="●"/>
      <w:pPr>
        <w:ind w:left="1400" w:hanging="200"/>
        <w:spacing w:before="100" w:after="100"/>
      </w:pPr>
    </w:lvl>
    <w:lvl w:ilvl="5" w15:tentative="1">
      <w:start w:val="1"/>
      <w:lvlJc w:val="start"/>
      <w:lvlText w:val="●"/>
      <w:pPr>
        <w:ind w:left="1750" w:hanging="200"/>
        <w:spacing w:before="100" w:after="100"/>
      </w:pPr>
    </w:lvl>
    <w:lvl w:ilvl="6" w15:tentative="1">
      <w:start w:val="1"/>
      <w:lvlJc w:val="start"/>
      <w:lvlText w:val="●"/>
      <w:pPr>
        <w:ind w:left="2100" w:hanging="200"/>
        <w:spacing w:before="100" w:after="100"/>
      </w:pPr>
    </w:lvl>
    <w:lvl w:ilvl="7" w15:tentative="1">
      <w:start w:val="1"/>
      <w:lvlJc w:val="start"/>
      <w:lvlText w:val="●"/>
      <w:pPr>
        <w:ind w:left="2450" w:hanging="200"/>
        <w:spacing w:before="100" w:after="100"/>
      </w:pPr>
    </w:lvl>
    <w:lvl w:ilvl="8" w15:tentative="1">
      <w:start w:val="1"/>
      <w:lvlJc w:val="start"/>
      <w:lvlText w:val="●"/>
      <w:pPr>
        <w:ind w:left="2800" w:hanging="200"/>
        <w:spacing w:before="100" w:after="100"/>
      </w:pPr>
    </w:lvl>
  </w:abstractNum>
  <w:num w:numId="1">
    <w:abstractNumId w:val="0"/>
  </w:num>
  <w:num w:numId="3">
    <w:abstractNumId w:val="2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/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rPr>
      <w:sz w:val="56"/>
      <w:szCs w:val="56"/>
    </w:rPr>
    <w:basedOn w:val="Normal"/>
    <w:next w:val="Normal"/>
    <w:qFormat/>
  </w:style>
  <w:style w:type="paragraph" w:styleId="Heading1">
    <w:name w:val="Heading 1"/>
    <w:rPr>
      <w:sz w:val="32"/>
      <w:szCs w:val="32"/>
      <w:color w:val="2E74B5"/>
    </w:rPr>
    <w:basedOn w:val="Normal"/>
    <w:next w:val="Normal"/>
    <w:qFormat/>
  </w:style>
  <w:style w:type="paragraph" w:styleId="Heading2">
    <w:name w:val="Heading 2"/>
    <w:rPr>
      <w:sz w:val="26"/>
      <w:szCs w:val="26"/>
      <w:color w:val="2E74B5"/>
    </w:rPr>
    <w:basedOn w:val="Normal"/>
    <w:next w:val="Normal"/>
    <w:qFormat/>
  </w:style>
  <w:style w:type="paragraph" w:styleId="Heading3">
    <w:name w:val="Heading 3"/>
    <w:rPr>
      <w:sz w:val="24"/>
      <w:szCs w:val="24"/>
      <w:color w:val="1F4D78"/>
    </w:rPr>
    <w:basedOn w:val="Normal"/>
    <w:next w:val="Normal"/>
    <w:qFormat/>
  </w:style>
  <w:style w:type="paragraph" w:styleId="Heading4">
    <w:name w:val="Heading 4"/>
    <w:rPr>
      <w:i w:val="true"/>
      <w:color w:val="2E74B5"/>
    </w:rPr>
    <w:basedOn w:val="Normal"/>
    <w:next w:val="Normal"/>
    <w:qFormat/>
  </w:style>
  <w:style w:type="paragraph" w:styleId="Heading5">
    <w:name w:val="Heading 5"/>
    <w:rPr>
      <w:color w:val="2E74B5"/>
    </w:rPr>
    <w:basedOn w:val="Normal"/>
    <w:next w:val="Normal"/>
    <w:qFormat/>
  </w:style>
  <w:style w:type="paragraph" w:styleId="Heading6">
    <w:name w:val="Heading 6"/>
    <w:rPr>
      <w:color w:val="1F4D78"/>
    </w:rPr>
    <w:basedOn w:val="Normal"/>
    <w:next w:val="Normal"/>
    <w:qFormat/>
  </w:style>
  <w:style w:type="paragraph" w:styleId="ListParagraph">
    <w:name w:val="List Paragraph"/>
    <w:basedOn w:val="Normal"/>
    <w:qFormat/>
  </w:style>
  <w:style w:type="character" w:styleId="Hyperlink">
    <w:name w:val="Hyperlink"/>
    <w:rPr>
      <w:u w:val="single"/>
      <w:color w:val="0563C1"/>
    </w:rPr>
    <w:uiPriority w:val="99"/>
    <w:unhideWhenUsed/>
    <w:basedOn w:val="DefaultParagraphFont"/>
  </w:style>
  <w:style w:type="character" w:styleId="FootnoteReference">
    <w:name w:val="footnote reference"/>
    <w:rPr>
      <w:vertAlign w:val="superscript"/>
    </w:rPr>
    <w:uiPriority w:val="99"/>
    <w:unhideWhenUsed/>
    <w:basedOn w:val="DefaultParagraphFont"/>
    <w:semiHidden/>
  </w:style>
  <w:style w:type="paragraph" w:styleId="FootnoteText">
    <w:name w:val="footnote text"/>
    <w:pPr>
      <w:spacing w:after="0" w:line="240" w:lineRule="auto"/>
    </w:pPr>
    <w:rPr>
      <w:sz w:val="20"/>
      <w:szCs w:val="20"/>
    </w:rPr>
    <w:basedOn w:val="Normal"/>
    <w:link w:val="FootnoteTextChar"/>
    <w:semiHidden/>
    <w:uiPriority w:val="99"/>
    <w:unhideWhenUsed/>
  </w:style>
  <w:style w:type="character" w:styleId="FootnoteTextChar">
    <w:name w:val="Footnote Text Char"/>
    <w:rPr>
      <w:sz w:val="20"/>
      <w:szCs w:val="20"/>
    </w:rPr>
    <w:uiPriority w:val="99"/>
    <w:unhideWhenUsed/>
    <w:basedOn w:val="DefaultParagraphFont"/>
    <w:link w:val="FootnoteText"/>
    <w:semiHidden/>
  </w:style>
</w:styles>
</file>

<file path=word/_rels/document.xml.rels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/Relationships>
</file>

<file path=word/_rels/footer1.xml.rels><Relationships xmlns="http://schemas.openxmlformats.org/package/2006/relationships"/>
</file>

<file path=word/_rels/header1.xml.rels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人工智能导论第四章</dc:title>
  <dcterms:created xsi:type="dcterms:W3CDTF">2025-12-25T14:54:09Z</dcterms:created>
  <dcterms:modified xsi:type="dcterms:W3CDTF">2025-12-25T14:54:09Z</dcterms:modified>
</cp:coreProperties>
</file>