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 xml:space="preserve">Рассмотрение </w:t>
      </w:r>
      <w:r>
        <w:rPr>
          <w:rFonts w:ascii="Courier New" w:hAnsi="Courier New"/>
          <w:sz w:val="28"/>
          <w:szCs w:val="28"/>
        </w:rPr>
        <w:t>5</w:t>
      </w:r>
      <w:r>
        <w:rPr>
          <w:rFonts w:ascii="Courier New" w:hAnsi="Courier New"/>
          <w:sz w:val="28"/>
          <w:szCs w:val="28"/>
        </w:rPr>
        <w:t xml:space="preserve"> практической работы начнем с модульной структуры приложения, реализующего функциональность работы </w:t>
      </w:r>
      <w:r>
        <w:rPr>
          <w:rFonts w:ascii="Courier New" w:hAnsi="Courier New"/>
          <w:sz w:val="28"/>
          <w:szCs w:val="28"/>
        </w:rPr>
        <w:t xml:space="preserve">4 </w:t>
      </w:r>
      <w:r>
        <w:rPr>
          <w:rFonts w:ascii="Courier New" w:hAnsi="Courier New"/>
          <w:sz w:val="28"/>
          <w:szCs w:val="28"/>
        </w:rPr>
        <w:t xml:space="preserve">и ее ДК. </w:t>
      </w:r>
    </w:p>
    <w:p>
      <w:pPr>
        <w:pStyle w:val="Normal"/>
        <w:jc w:val="both"/>
        <w:rPr>
          <w:b/>
          <w:b/>
          <w:bCs/>
        </w:rPr>
      </w:pPr>
      <w:r>
        <w:rPr>
          <w:rFonts w:ascii="Courier New" w:hAnsi="Courier New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mc:AlternateContent>
          <mc:Choice Requires="wps">
            <w:drawing>
              <wp:anchor behindDoc="0" distT="635" distB="635" distL="635" distR="635" simplePos="0" locked="0" layoutInCell="0" allowOverlap="1" relativeHeight="3">
                <wp:simplePos x="0" y="0"/>
                <wp:positionH relativeFrom="column">
                  <wp:posOffset>1062355</wp:posOffset>
                </wp:positionH>
                <wp:positionV relativeFrom="paragraph">
                  <wp:posOffset>201295</wp:posOffset>
                </wp:positionV>
                <wp:extent cx="6985" cy="2964180"/>
                <wp:effectExtent l="635" t="635" r="635" b="635"/>
                <wp:wrapNone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" cy="2964240"/>
                        </a:xfrm>
                        <a:prstGeom prst="line">
                          <a:avLst/>
                        </a:prstGeom>
                        <a:ln cap="rnd"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3.65pt,15.85pt" to="84.15pt,249.2pt" ID="Фигура1" stroked="t" o:allowincell="f" style="position:absolute">
                <v:stroke color="#3465a4" dashstyle="longdash" joinstyle="round" endcap="round"/>
                <v:fill o:detectmouseclick="t" on="false"/>
                <w10:wrap type="none"/>
              </v:line>
            </w:pict>
          </mc:Fallback>
        </mc:AlternateContent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4" w:type="dxa"/>
          <w:bottom w:w="55" w:type="dxa"/>
          <w:right w:w="55" w:type="dxa"/>
        </w:tblCellMar>
      </w:tblPr>
      <w:tblGrid>
        <w:gridCol w:w="4819"/>
        <w:gridCol w:w="4818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47035" cy="2926080"/>
                  <wp:effectExtent l="0" t="0" r="0" b="0"/>
                  <wp:wrapSquare wrapText="largest"/>
                  <wp:docPr id="2" name="Изображение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035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</w:r>
          </w:p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990850" cy="1793240"/>
                  <wp:effectExtent l="0" t="0" r="0" b="0"/>
                  <wp:wrapSquare wrapText="largest"/>
                  <wp:docPr id="3" name="Изображение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</w:r>
          </w:p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</w:r>
          </w:p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</w:r>
          </w:p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</w:r>
          </w:p>
          <w:p>
            <w:pPr>
              <w:pStyle w:val="Style19"/>
              <w:widowControl w:val="false"/>
              <w:jc w:val="left"/>
              <w:rPr>
                <w:rFonts w:ascii="Courier New" w:hAnsi="Courier New"/>
                <w:sz w:val="28"/>
                <w:szCs w:val="28"/>
              </w:rPr>
            </w:pPr>
            <w:r>
              <w:rPr>
                <w:rFonts w:ascii="Courier New" w:hAnsi="Courier New"/>
                <w:sz w:val="28"/>
                <w:szCs w:val="28"/>
              </w:rPr>
            </w:r>
          </w:p>
        </w:tc>
      </w:tr>
    </w:tbl>
    <w:p>
      <w:pPr>
        <w:pStyle w:val="Normal"/>
        <w:jc w:val="left"/>
        <w:rPr/>
      </w:pPr>
      <w:r>
        <w:rPr/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 xml:space="preserve">Реализованные отношения зависимости, где интерфейс (отдельный модуль) выступает в качестве клиента зависимости, а полином и </w:t>
      </w:r>
      <w:r>
        <w:rPr>
          <w:rFonts w:ascii="Courier New" w:hAnsi="Courier New"/>
          <w:sz w:val="28"/>
          <w:szCs w:val="28"/>
        </w:rPr>
        <w:t>комплексное</w:t>
      </w:r>
      <w:r>
        <w:rPr>
          <w:rFonts w:ascii="Courier New" w:hAnsi="Courier New"/>
          <w:sz w:val="28"/>
          <w:szCs w:val="28"/>
        </w:rPr>
        <w:t xml:space="preserve"> число (также отдельные модули) - в качестве источников зависимости, позволяют легко провести водораздел (пунктирная линия на ДК).</w:t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 xml:space="preserve">Почему так можно </w:t>
      </w:r>
      <w:r>
        <w:rPr>
          <w:rFonts w:ascii="Courier New" w:hAnsi="Courier New"/>
          <w:sz w:val="28"/>
          <w:szCs w:val="28"/>
        </w:rPr>
        <w:t xml:space="preserve">делать </w:t>
      </w:r>
      <w:r>
        <w:rPr>
          <w:rFonts w:ascii="Courier New" w:hAnsi="Courier New"/>
          <w:sz w:val="28"/>
          <w:szCs w:val="28"/>
        </w:rPr>
        <w:t xml:space="preserve">и что это дает? </w:t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 xml:space="preserve">Все дело в том, что среди атрибутов класса интерфейса нет таких, которые бы имели тип классов полинома и </w:t>
      </w:r>
      <w:r>
        <w:rPr>
          <w:rFonts w:ascii="Courier New" w:hAnsi="Courier New"/>
          <w:sz w:val="28"/>
          <w:szCs w:val="28"/>
        </w:rPr>
        <w:t>комплексного</w:t>
      </w:r>
      <w:r>
        <w:rPr>
          <w:rFonts w:ascii="Courier New" w:hAnsi="Courier New"/>
          <w:sz w:val="28"/>
          <w:szCs w:val="28"/>
        </w:rPr>
        <w:t xml:space="preserve"> числа. Этого нельзя сказать, например, о классах полинома и </w:t>
      </w:r>
      <w:r>
        <w:rPr>
          <w:rFonts w:ascii="Courier New" w:hAnsi="Courier New"/>
          <w:sz w:val="28"/>
          <w:szCs w:val="28"/>
        </w:rPr>
        <w:t>комплексного</w:t>
      </w:r>
      <w:r>
        <w:rPr>
          <w:rFonts w:ascii="Courier New" w:hAnsi="Courier New"/>
          <w:sz w:val="28"/>
          <w:szCs w:val="28"/>
        </w:rPr>
        <w:t xml:space="preserve"> числа, находящихся в отношении композиция. Среди атрибутов класса полином есть тип </w:t>
      </w:r>
      <w:r>
        <w:rPr>
          <w:rFonts w:ascii="Courier New" w:hAnsi="Courier New"/>
          <w:sz w:val="28"/>
          <w:szCs w:val="28"/>
        </w:rPr>
        <w:t>комплексного</w:t>
      </w:r>
      <w:r>
        <w:rPr>
          <w:rFonts w:ascii="Courier New" w:hAnsi="Courier New"/>
          <w:sz w:val="28"/>
          <w:szCs w:val="28"/>
        </w:rPr>
        <w:t xml:space="preserve"> числа (number).</w:t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Проведение такого водораздела позволяет перейти от одного приложения к распределенному, в котором интерфейс входит в состав приложения-клиента, а классы источники зависимости обеспечивают главную функциональность приложения-сервера.</w:t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>Приложения клиент и сервер могут работать на как одном, так и на разных хостах в локальной сети. Протокол сетевого взаимодействия задает область применения приложений. Так протокол UDP (реализуется в данной работе) ориентирован на взаимодействие peer-to-peer (точка-точка). Протокол TCP - на классическую архитектуру 1 сервер - множество независимых клиентов.</w:t>
      </w:r>
    </w:p>
    <w:p>
      <w:pPr>
        <w:pStyle w:val="Normal"/>
        <w:jc w:val="both"/>
        <w:rPr>
          <w:rFonts w:ascii="Courier New" w:hAnsi="Courier New"/>
          <w:sz w:val="28"/>
          <w:szCs w:val="28"/>
        </w:rPr>
      </w:pPr>
      <w:r>
        <w:rPr>
          <w:rFonts w:ascii="Courier New" w:hAnsi="Courier New"/>
          <w:sz w:val="28"/>
          <w:szCs w:val="28"/>
        </w:rPr>
        <w:tab/>
        <w:t xml:space="preserve">Какие функции добавляются в клиентское и серверный части распределенного приложения </w:t>
      </w:r>
      <w:r>
        <w:rPr>
          <w:rFonts w:ascii="Courier New" w:hAnsi="Courier New"/>
          <w:sz w:val="28"/>
          <w:szCs w:val="28"/>
        </w:rPr>
        <w:t xml:space="preserve">в </w:t>
      </w:r>
      <w:r>
        <w:rPr>
          <w:rFonts w:ascii="Courier New" w:hAnsi="Courier New"/>
          <w:sz w:val="28"/>
          <w:szCs w:val="28"/>
        </w:rPr>
        <w:t>работ</w:t>
      </w:r>
      <w:r>
        <w:rPr>
          <w:rFonts w:ascii="Courier New" w:hAnsi="Courier New"/>
          <w:sz w:val="28"/>
          <w:szCs w:val="28"/>
        </w:rPr>
        <w:t>е 5</w:t>
      </w:r>
      <w:r>
        <w:rPr>
          <w:rFonts w:ascii="Courier New" w:hAnsi="Courier New"/>
          <w:sz w:val="28"/>
          <w:szCs w:val="28"/>
        </w:rPr>
        <w:t xml:space="preserve">? 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single"/>
        </w:rPr>
        <w:t>Клиентское приложение</w:t>
      </w:r>
      <w:r>
        <w:rPr>
          <w:rFonts w:ascii="Courier New" w:hAnsi="Courier New"/>
          <w:sz w:val="28"/>
          <w:szCs w:val="28"/>
          <w:u w:val="none"/>
        </w:rPr>
        <w:t xml:space="preserve"> должно выполнять следующие функции: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по-прежнему - ввод/вывод через интерфейсные элементы объекта класса интерфейс;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 xml:space="preserve">- не прямое обращение объекта интерфейс к объектам полинома и </w:t>
      </w:r>
      <w:r>
        <w:rPr>
          <w:rFonts w:ascii="Courier New" w:hAnsi="Courier New"/>
          <w:sz w:val="28"/>
          <w:szCs w:val="28"/>
          <w:u w:val="none"/>
        </w:rPr>
        <w:t>комплексного</w:t>
      </w:r>
      <w:r>
        <w:rPr>
          <w:rFonts w:ascii="Courier New" w:hAnsi="Courier New"/>
          <w:sz w:val="28"/>
          <w:szCs w:val="28"/>
          <w:u w:val="none"/>
        </w:rPr>
        <w:t xml:space="preserve"> числа, а формирование сообщения, состоящего из вида запроса (что от них надо) и параметров запроса (какие данные для этого есть);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получать ответ на запрос не напрямую, а опять-таки через ответное сообщение;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транслировать сообщения объекта интерфейс в сеть и обратно (новая функция).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ab/>
        <w:t>Первые 3 функции естественно возложить на интерфейс. С чем работают интерфейсные объекты? В основном с текстовой информацией. Поэтому естественно формировать и принимать сообщения в строковом виде, не вдаваясь в особенности работы объекта сетевого коммуникатора, на которого должна быть возложена последняя функция. Вообще о коммуникаторе интерфейс знать не обязан, может быть обмен вообще не сетевой, а,</w:t>
      </w:r>
      <w:r>
        <w:rPr>
          <w:rFonts w:ascii="Courier New" w:hAnsi="Courier New"/>
          <w:sz w:val="28"/>
          <w:szCs w:val="28"/>
          <w:u w:val="none"/>
        </w:rPr>
        <w:t xml:space="preserve"> </w:t>
      </w:r>
      <w:r>
        <w:rPr>
          <w:rFonts w:ascii="Courier New" w:hAnsi="Courier New"/>
          <w:sz w:val="28"/>
          <w:szCs w:val="28"/>
          <w:u w:val="none"/>
        </w:rPr>
        <w:t>скажем, через общую межпроцессную память, организованную операционной системой, и т.п. Поэтому в приложении-клиенте организующую роль должен играть объект класса приложение, основная функция которого - это преобразование сообщений от интерфейса в сообщения, потребляемыми коммуникатором, и наоборот. В эту же концепцию вкладывается обеспечение скрытности сетевого обмена, когда в процессе преобразования сообщений объект приложение выполняет тот или иной алгоритм шифрования/дешифрования. О нем точно не должны знать ни интерфейс, ни коммуникатор.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single"/>
        </w:rPr>
        <w:t>Серверое приложение</w:t>
      </w:r>
      <w:r>
        <w:rPr>
          <w:rFonts w:ascii="Courier New" w:hAnsi="Courier New"/>
          <w:sz w:val="28"/>
          <w:szCs w:val="28"/>
          <w:u w:val="none"/>
        </w:rPr>
        <w:t xml:space="preserve"> должно выполнять следующие функции: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получать и принимать сообщения из сети (коммуникатор);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 xml:space="preserve">- преобразовывать полученные сообщения к виду, позволяющему обращаться к объектам полинома и </w:t>
      </w:r>
      <w:r>
        <w:rPr>
          <w:rFonts w:ascii="Courier New" w:hAnsi="Courier New"/>
          <w:sz w:val="28"/>
          <w:szCs w:val="28"/>
          <w:u w:val="none"/>
        </w:rPr>
        <w:t>комплексного</w:t>
      </w:r>
      <w:r>
        <w:rPr>
          <w:rFonts w:ascii="Courier New" w:hAnsi="Courier New"/>
          <w:sz w:val="28"/>
          <w:szCs w:val="28"/>
          <w:u w:val="none"/>
        </w:rPr>
        <w:t xml:space="preserve"> числа;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напрямую обращаться с запросами к объектам</w:t>
      </w:r>
      <w:bookmarkStart w:id="0" w:name="__DdeLink__460_3030012696"/>
      <w:r>
        <w:rPr>
          <w:rFonts w:ascii="Courier New" w:hAnsi="Courier New"/>
          <w:sz w:val="28"/>
          <w:szCs w:val="28"/>
          <w:u w:val="none"/>
        </w:rPr>
        <w:t xml:space="preserve"> полинома и </w:t>
      </w:r>
      <w:r>
        <w:rPr>
          <w:rFonts w:ascii="Courier New" w:hAnsi="Courier New"/>
          <w:sz w:val="28"/>
          <w:szCs w:val="28"/>
          <w:u w:val="none"/>
        </w:rPr>
        <w:t>комплексного</w:t>
      </w:r>
      <w:r>
        <w:rPr>
          <w:rFonts w:ascii="Courier New" w:hAnsi="Courier New"/>
          <w:sz w:val="28"/>
          <w:szCs w:val="28"/>
          <w:u w:val="none"/>
        </w:rPr>
        <w:t xml:space="preserve"> числа</w:t>
      </w:r>
      <w:bookmarkEnd w:id="0"/>
      <w:r>
        <w:rPr>
          <w:rFonts w:ascii="Courier New" w:hAnsi="Courier New"/>
          <w:sz w:val="28"/>
          <w:szCs w:val="28"/>
          <w:u w:val="none"/>
        </w:rPr>
        <w:t>, что в едином приложении выполнялось в реализации методов объекта интерфейс;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получать ответ от полинома;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>- преобразовывать его в ответное сообщение для интерфейса клиентского приложения.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ab/>
        <w:t xml:space="preserve">Если функция преобразования сообщений в сеть и из сети в другой формат в клиенте возлагается на методы класса приложение, то и здесь нет причин от этого отказываться. 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ab/>
        <w:t>Нужно ли использовать еще какой-то класс кроме необходимого для сервера класса приложения? В общем такой необходимости нет.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none"/>
        </w:rPr>
        <w:tab/>
        <w:t>В какой формат и из какого преобразовывать сетевые сообщения? Поскольку обращение к полиному в едином приложение происходило из интерфейсного объекта и потребитель - также интерфейсный объект, но уже у клиента, то естественно применять общий формат в обоих приложениях. Общие функции следует реализовать в модуле, включаемом в оба приложения.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single"/>
        </w:rPr>
      </w:pPr>
      <w:r>
        <w:rPr>
          <w:rFonts w:ascii="Courier New" w:hAnsi="Courier New"/>
          <w:sz w:val="28"/>
          <w:szCs w:val="28"/>
          <w:u w:val="single"/>
        </w:rPr>
      </w:r>
    </w:p>
    <w:p>
      <w:pPr>
        <w:pStyle w:val="Normal"/>
        <w:jc w:val="both"/>
        <w:rPr>
          <w:rFonts w:ascii="Courier New" w:hAnsi="Courier New"/>
          <w:sz w:val="28"/>
          <w:szCs w:val="28"/>
          <w:u w:val="none"/>
        </w:rPr>
      </w:pPr>
      <w:r>
        <w:rPr>
          <w:rFonts w:ascii="Courier New" w:hAnsi="Courier New"/>
          <w:sz w:val="28"/>
          <w:szCs w:val="28"/>
          <w:u w:val="none"/>
        </w:rPr>
        <w:tab/>
        <w:t>К заданию по этой практической работе прилагается не аудио-видео файл, а прототип возможной реализации клиентского и серверного проекта. Клиент и сервер настроены на исполнение на одном компьютере по IP адресу 127.0.0.1 с перекрестным соединением портов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none"/>
        </w:rPr>
      </w:pPr>
      <w:r>
        <w:rPr>
          <w:rFonts w:ascii="Courier New" w:hAnsi="Courier New"/>
          <w:sz w:val="28"/>
          <w:szCs w:val="28"/>
          <w:u w:val="none"/>
        </w:rPr>
        <w:t>10000 -&gt; 10001 и 10001 &lt;- 10000.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none"/>
        </w:rPr>
      </w:pPr>
      <w:r>
        <w:rPr>
          <w:rFonts w:ascii="Courier New" w:hAnsi="Courier New"/>
          <w:sz w:val="28"/>
          <w:szCs w:val="28"/>
          <w:u w:val="none"/>
        </w:rPr>
        <w:tab/>
        <w:t>Поскольку используемые в примере структуры сообщений самые простейшие и не защищенные, то будет приветствоваться использование собственных структур обмена сообщениями.</w:t>
      </w:r>
    </w:p>
    <w:p>
      <w:pPr>
        <w:pStyle w:val="Normal"/>
        <w:jc w:val="both"/>
        <w:rPr>
          <w:rFonts w:ascii="Courier New" w:hAnsi="Courier New"/>
          <w:sz w:val="28"/>
          <w:szCs w:val="28"/>
          <w:u w:val="non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</TotalTime>
  <Application>LibreOffice/7.4.7.2$Linux_X86_64 LibreOffice_project/40$Build-2</Application>
  <AppVersion>15.0000</AppVersion>
  <Pages>3</Pages>
  <Words>595</Words>
  <Characters>3860</Characters>
  <CharactersWithSpaces>4447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2021-03-22T11:57:11Z</dcterms:created>
  <dc:creator/>
  <dc:description/>
  <dc:language>ru-RU</dc:language>
  <cp:lastModifiedBy/>
  <dcterms:modified xsi:type="dcterms:W3CDTF">2024-10-27T10:09:03Z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