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Requirements Specification Document</w:t>
      </w:r>
    </w:p>
    <w:p>
      <w:pPr/>
      <w:r>
        <w:t>Document Type: Report / Information Delivery</w:t>
      </w:r>
    </w:p>
    <w:p>
      <w:r>
        <w:rPr>
          <w:b/>
        </w:rPr>
        <w:t xml:space="preserve">Project: </w:t>
      </w:r>
      <w:r>
        <w:t>Executive KPI Dashboard — Information Delivery Layer</w:t>
      </w:r>
    </w:p>
    <w:p>
      <w:r>
        <w:rPr>
          <w:b/>
        </w:rPr>
        <w:t xml:space="preserve">Version: </w:t>
      </w:r>
      <w:r>
        <w:t>1.3</w:t>
      </w:r>
    </w:p>
    <w:p>
      <w:r>
        <w:rPr>
          <w:b/>
        </w:rPr>
        <w:t xml:space="preserve">Prepared by: </w:t>
      </w:r>
      <w:r>
        <w:t>BI &amp; Reporting Team — CIB DWH</w:t>
      </w:r>
    </w:p>
    <w:p>
      <w:r>
        <w:rPr>
          <w:b/>
        </w:rPr>
        <w:t xml:space="preserve">Date: </w:t>
      </w:r>
      <w:r>
        <w:t>October 2026</w:t>
      </w:r>
    </w:p>
    <w:p/>
    <w:p>
      <w:pPr>
        <w:pStyle w:val="Heading2"/>
      </w:pPr>
      <w:r>
        <w:rPr>
          <w:color w:val="1F4E79"/>
        </w:rPr>
        <w:t>1. Business Requirement</w:t>
      </w:r>
    </w:p>
    <w:p>
      <w:r>
        <w:t>Senior management requires a monthly KPI dashboard covering:</w:t>
        <w:br/>
        <w:t xml:space="preserve">  • Total assets under management (AUM)</w:t>
        <w:br/>
        <w:t xml:space="preserve">  • Net interest margin (NIM) by segment</w:t>
        <w:br/>
        <w:t xml:space="preserve">  • Non-performing loans (NPL) ratio</w:t>
        <w:br/>
        <w:t xml:space="preserve">  • Customer acquisition and churn rates</w:t>
        <w:br/>
        <w:t xml:space="preserve">  • Digital channel adoption (online/mobile)</w:t>
        <w:br/>
        <w:br/>
        <w:t>Data must be available in the Information Delivery layer by the 3rd business day of each month, covering the prior month.</w:t>
        <w:br/>
        <w:br/>
        <w:t>Consumer: Business Objects (BO) reports + Tableau dashboards</w:t>
      </w:r>
    </w:p>
    <w:p>
      <w:pPr>
        <w:pStyle w:val="Heading2"/>
      </w:pPr>
      <w:r>
        <w:rPr>
          <w:color w:val="1F4E79"/>
        </w:rPr>
        <w:t>2. Scope of Change</w:t>
      </w:r>
    </w:p>
    <w:p>
      <w:r>
        <w:t>Type: New Report / Information Delivery Pipeline</w:t>
        <w:br/>
        <w:t>Target Layer: Information Delivery (ID schema) → consumed by BO/Tableau</w:t>
        <w:br/>
        <w:t>Source Layers: Business Vault (BUSNSVLT), Data Vault (DATAVLT)</w:t>
        <w:br/>
        <w:t>Frequency: Monthly — runs on 2nd calendar day of each month</w:t>
        <w:br/>
        <w:t>New tables required: 2 ID layer tables (do not yet exist in lineage)</w:t>
        <w:br/>
        <w:t>Existing sources to be used: ATOMIC schema tables (already in lineage)</w:t>
      </w:r>
    </w:p>
    <w:p>
      <w:pPr>
        <w:pStyle w:val="Heading2"/>
      </w:pPr>
      <w:r>
        <w:rPr>
          <w:color w:val="1F4E79"/>
        </w:rPr>
        <w:t>3. New Tables — Information Delivery Layer</w:t>
      </w:r>
    </w:p>
    <w:p>
      <w:r>
        <w:t>IMPORTANT: Both tables below do NOT exist in the current lineage. They must be created, modelled, and provisioned as part of this RSD.</w:t>
      </w:r>
    </w:p>
    <w:p>
      <w:pPr>
        <w:pStyle w:val="Heading3"/>
      </w:pPr>
      <w:r>
        <w:rPr>
          <w:color w:val="1F4E79"/>
        </w:rPr>
        <w:t>3.1 ID_EXEC_KPI_MONTHLY — Main KPI Fact Table (NEW)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Surrogate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Sequence generator — auto increment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REPORT_MONTH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 month (first day of month)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e.g. 2026-09-01 for September 2026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SEGMENT_CD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segment 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RETAIL / CORPORATE / SME / PREMIUM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TOTAL_AUM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assets under management (EGP)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Sum of all account balances by segment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NET_INTEREST_MARGIN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DECIMAL(10,6)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 interest margin percentage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(Interest Income - Interest Expense) / Average Earning Assets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NPL_RATIO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DECIMAL(10,6)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Non-performing loans ratio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NPL Balance / Total Loan Portfolio * 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NEW_CUSTOMERS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customers acquired in month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Count of ONBOARDING_DATE in reporting month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CHURNED_CUSTOMERS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Customers churned in month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Count where ACCOUNT_STATUS changed to CLOSED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DIGITAL_TXN_COUNT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Digital channel transactions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Count of transactions via online/mobile channels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DIGITAL_TXN_PCT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Digital transactions as % of 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DIGITAL_TXN_COUNT / TOTAL_TXN_COUNT * 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TOTAL_TXN_COUNT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transactions (all channels)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transaction types in period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LOAD_DTS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ETL load 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generated</w:t>
            </w:r>
          </w:p>
        </w:tc>
      </w:tr>
    </w:tbl>
    <w:p/>
    <w:p>
      <w:pPr>
        <w:pStyle w:val="Heading3"/>
      </w:pPr>
      <w:r>
        <w:rPr>
          <w:color w:val="1F4E79"/>
        </w:rPr>
        <w:t>3.2 ID_EXEC_KPI_SEGMENT_DIM — Segment Dimension (NEW)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ID.ID_EXEC_KPI_SEGMENT_DIM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SEGMENT_KEY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Surrogate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Sequence generator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ID.ID_EXEC_KPI_SEGMENT_DIM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SEGMENT_CD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Segment 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RETAIL / CORPORATE / SME / PREMIUM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ID.ID_EXEC_KPI_SEGMENT_DIM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SEGMENT_NAME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segment name in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business glossary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ID.ID_EXEC_KPI_SEGMENT_DIM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SEGMENT_NAME_AR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segment name in Arabic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business glossary — Arabic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ID.ID_EXEC_KPI_SEGMENT_DIM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MIN_BALANCE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Minimum balance threshold for segment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product configuration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ID.ID_EXEC_KPI_SEGMENT_DIM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TARGET_NIM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Target NIM for segment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 by treasury annually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ID.ID_EXEC_KPI_SEGMENT_DIM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segment definition became effective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 SCD Type 2 tracking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ID.ID_EXEC_KPI_SEGMENT_DIM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EXPIRY_DATE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segment definition 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 = currently active</w:t>
            </w:r>
          </w:p>
        </w:tc>
      </w:tr>
    </w:tbl>
    <w:p/>
    <w:p>
      <w:pPr>
        <w:pStyle w:val="Heading2"/>
      </w:pPr>
      <w:r>
        <w:rPr>
          <w:color w:val="1F4E79"/>
        </w:rPr>
        <w:t>4. Existing Source Tables (already in lineage)</w:t>
      </w:r>
    </w:p>
    <w:p>
      <w:r>
        <w:t>The following tables ALREADY EXIST in the current lineage and will be used as sources for the ID layer calculations: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ATOMIC.T24_SEC_ORIG_DATES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ORIG_DATE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origination dates — existing ATOMIC 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EXISTS — used for NPL calculation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ATOMIC.LS_MAN_LDTBL_EBS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BALANCE_AMT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Balance amounts — existing ATOMIC EBS 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EXISTS — source for AUM calculation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BUSNSVLT.BV_ACCT_BAL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CURRENT_BAL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 balance — existing Business 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EXISTS — primary source for total AUM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BUSNSVLT.BV_CHNL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CHANNEL_CD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Channel dimension — existing BV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EXISTS — used to identify digital vs branch transactions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BUSNSVLT_VW.BV_ACCT_FCT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TXN_COUNT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 transaction count fact — existing BV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EXISTS — source for total and digital transaction counts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DATAVLT_VW.CRM_SAT_CNTCT_CSN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CUST_SEGMENT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segment from CRM satellite — existing DV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EXISTS — source for segment classification</w:t>
            </w:r>
          </w:p>
        </w:tc>
      </w:tr>
    </w:tbl>
    <w:p/>
    <w:p>
      <w:pPr>
        <w:pStyle w:val="Heading2"/>
      </w:pPr>
      <w:r>
        <w:rPr>
          <w:color w:val="1F4E79"/>
        </w:rPr>
        <w:t>5. Data Quality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NPL_RATIO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NPL ratio must be between 0 and 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 record and alert if NPL_RATIO &gt; 100 or &lt; 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TOTAL_AUM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AUM must be positive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 if TOTAL_AUM &lt;= 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DIGITAL_TXN_PCT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Digital % must be between 0-100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Raise warning if &gt; 95% (unlikely scenario)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ID.ID_EXEC_KPI_MONTHLY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REPORT_MONTH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 always be first day of the month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Enforce with CHECK constraint</w:t>
            </w:r>
          </w:p>
        </w:tc>
      </w:tr>
    </w:tbl>
    <w:p/>
    <w:p>
      <w:pPr>
        <w:pStyle w:val="Heading2"/>
      </w:pPr>
      <w:r>
        <w:rPr>
          <w:color w:val="1F4E79"/>
        </w:rPr>
        <w:t>6. Acceptance Criteria</w:t>
      </w:r>
    </w:p>
    <w:p>
      <w:r>
        <w:t>1. Report available by 3rd business day of each month — 100% of the time.</w:t>
        <w:br/>
        <w:t>2. All 4 customer segments represented in every monthly load.</w:t>
        <w:br/>
        <w:t>3. KPI values reconcile within 0.01% against GL system figures.</w:t>
        <w:br/>
        <w:t>4. Arabic segment names display correctly in Tableau (UTF-8 encoding).</w:t>
        <w:br/>
        <w:t>5. Historical data loaded for 24 months before go-live (backfill).</w:t>
        <w:br/>
        <w:t>6. Zero data quality rule violations in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RSD - Report - Executive KPI Information Delivery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