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6F9" w:rsidRDefault="002016F9" w:rsidP="002016F9">
      <w:pPr>
        <w:rPr>
          <w:b/>
          <w:sz w:val="48"/>
          <w:szCs w:val="48"/>
        </w:rPr>
      </w:pPr>
      <w:bookmarkStart w:id="0" w:name="_GoBack"/>
      <w:bookmarkEnd w:id="0"/>
      <w:r>
        <w:rPr>
          <w:b/>
          <w:sz w:val="48"/>
          <w:szCs w:val="48"/>
        </w:rPr>
        <w:t>Business Plan 2015/16</w:t>
      </w:r>
    </w:p>
    <w:p w:rsidR="002016F9" w:rsidRDefault="002016F9" w:rsidP="002016F9">
      <w:pPr>
        <w:rPr>
          <w:b/>
          <w:sz w:val="48"/>
          <w:szCs w:val="48"/>
        </w:rPr>
      </w:pPr>
      <w:r>
        <w:rPr>
          <w:b/>
          <w:sz w:val="48"/>
          <w:szCs w:val="48"/>
        </w:rPr>
        <w:t xml:space="preserve">Low Pay Commission Secretariat </w:t>
      </w:r>
    </w:p>
    <w:p w:rsidR="002016F9" w:rsidRDefault="002016F9" w:rsidP="002016F9">
      <w:pPr>
        <w:rPr>
          <w:sz w:val="28"/>
          <w:szCs w:val="28"/>
        </w:rPr>
      </w:pPr>
      <w:r>
        <w:rPr>
          <w:sz w:val="28"/>
          <w:szCs w:val="28"/>
        </w:rPr>
        <w:t>This plan will be updated as appropriate</w:t>
      </w:r>
    </w:p>
    <w:p w:rsidR="002016F9" w:rsidRDefault="002016F9" w:rsidP="002016F9">
      <w:r>
        <w:t>Contents:</w:t>
      </w:r>
    </w:p>
    <w:p w:rsidR="002016F9" w:rsidRDefault="002016F9" w:rsidP="002016F9">
      <w:pPr>
        <w:spacing w:before="0" w:line="240" w:lineRule="auto"/>
      </w:pPr>
      <w:r>
        <w:t xml:space="preserve">1 </w:t>
      </w:r>
      <w:proofErr w:type="gramStart"/>
      <w:r>
        <w:t>-  Purpose</w:t>
      </w:r>
      <w:proofErr w:type="gramEnd"/>
      <w:r>
        <w:t xml:space="preserve"> </w:t>
      </w:r>
    </w:p>
    <w:p w:rsidR="002016F9" w:rsidRDefault="002016F9" w:rsidP="002016F9">
      <w:pPr>
        <w:spacing w:before="0" w:line="240" w:lineRule="auto"/>
      </w:pPr>
      <w:r>
        <w:t xml:space="preserve">2 </w:t>
      </w:r>
      <w:proofErr w:type="gramStart"/>
      <w:r>
        <w:t>-  Key</w:t>
      </w:r>
      <w:proofErr w:type="gramEnd"/>
      <w:r>
        <w:t xml:space="preserve"> Milestones</w:t>
      </w:r>
    </w:p>
    <w:p w:rsidR="002016F9" w:rsidRDefault="002016F9" w:rsidP="002016F9">
      <w:pPr>
        <w:spacing w:before="0" w:line="240" w:lineRule="auto"/>
      </w:pPr>
      <w:r>
        <w:t xml:space="preserve">3 </w:t>
      </w:r>
      <w:proofErr w:type="gramStart"/>
      <w:r>
        <w:t>-  Research</w:t>
      </w:r>
      <w:proofErr w:type="gramEnd"/>
    </w:p>
    <w:p w:rsidR="002016F9" w:rsidRDefault="002016F9" w:rsidP="002016F9">
      <w:pPr>
        <w:spacing w:before="0" w:line="240" w:lineRule="auto"/>
      </w:pPr>
      <w:r>
        <w:t xml:space="preserve">4 </w:t>
      </w:r>
      <w:proofErr w:type="gramStart"/>
      <w:r>
        <w:t>-  Risks</w:t>
      </w:r>
      <w:proofErr w:type="gramEnd"/>
    </w:p>
    <w:p w:rsidR="002016F9" w:rsidRDefault="002016F9" w:rsidP="002016F9">
      <w:pPr>
        <w:spacing w:before="0" w:line="240" w:lineRule="auto"/>
      </w:pPr>
      <w:r>
        <w:t xml:space="preserve">5 </w:t>
      </w:r>
      <w:proofErr w:type="gramStart"/>
      <w:r>
        <w:t>-  Resources</w:t>
      </w:r>
      <w:proofErr w:type="gramEnd"/>
      <w:r>
        <w:t xml:space="preserve"> (</w:t>
      </w:r>
      <w:proofErr w:type="spellStart"/>
      <w:r>
        <w:t>inc.</w:t>
      </w:r>
      <w:proofErr w:type="spellEnd"/>
      <w:r>
        <w:t xml:space="preserve"> staffing)</w:t>
      </w:r>
    </w:p>
    <w:p w:rsidR="002016F9" w:rsidRDefault="002016F9" w:rsidP="002016F9">
      <w:pPr>
        <w:spacing w:before="0" w:line="240" w:lineRule="auto"/>
      </w:pPr>
      <w:r>
        <w:t xml:space="preserve">6 </w:t>
      </w:r>
      <w:proofErr w:type="gramStart"/>
      <w:r>
        <w:t>-  Transparency</w:t>
      </w:r>
      <w:proofErr w:type="gramEnd"/>
    </w:p>
    <w:p w:rsidR="002016F9" w:rsidRDefault="002016F9" w:rsidP="002016F9">
      <w:pPr>
        <w:spacing w:before="0"/>
      </w:pPr>
      <w:r>
        <w:t xml:space="preserve">7 </w:t>
      </w:r>
      <w:proofErr w:type="gramStart"/>
      <w:r>
        <w:t>-  Communication</w:t>
      </w:r>
      <w:proofErr w:type="gramEnd"/>
      <w:r>
        <w:t xml:space="preserve"> Activities </w:t>
      </w:r>
    </w:p>
    <w:p w:rsidR="002016F9" w:rsidRDefault="002016F9" w:rsidP="002016F9"/>
    <w:p w:rsidR="002016F9" w:rsidRDefault="002016F9" w:rsidP="002016F9">
      <w:pPr>
        <w:spacing w:before="0" w:line="240" w:lineRule="auto"/>
      </w:pPr>
      <w:r>
        <w:t>Annexes:</w:t>
      </w:r>
    </w:p>
    <w:p w:rsidR="002016F9" w:rsidRDefault="002016F9" w:rsidP="002016F9">
      <w:pPr>
        <w:spacing w:before="0" w:line="240" w:lineRule="auto"/>
      </w:pPr>
      <w:r>
        <w:t xml:space="preserve">A </w:t>
      </w:r>
      <w:proofErr w:type="gramStart"/>
      <w:r>
        <w:t>-  Remit</w:t>
      </w:r>
      <w:proofErr w:type="gramEnd"/>
      <w:r>
        <w:t xml:space="preserve"> from Government</w:t>
      </w:r>
    </w:p>
    <w:p w:rsidR="002016F9" w:rsidRDefault="002016F9" w:rsidP="002016F9">
      <w:pPr>
        <w:spacing w:before="0" w:line="240" w:lineRule="auto"/>
      </w:pPr>
      <w:r>
        <w:t xml:space="preserve">B </w:t>
      </w:r>
      <w:proofErr w:type="gramStart"/>
      <w:r>
        <w:t>-  Research</w:t>
      </w:r>
      <w:proofErr w:type="gramEnd"/>
      <w:r>
        <w:t xml:space="preserve"> projects for the 2016 Report</w:t>
      </w:r>
    </w:p>
    <w:p w:rsidR="002016F9" w:rsidRDefault="002016F9" w:rsidP="002016F9">
      <w:pPr>
        <w:spacing w:before="0" w:line="240" w:lineRule="auto"/>
      </w:pPr>
      <w:r>
        <w:t xml:space="preserve">C </w:t>
      </w:r>
      <w:proofErr w:type="gramStart"/>
      <w:r>
        <w:t>-  Budget</w:t>
      </w:r>
      <w:proofErr w:type="gramEnd"/>
      <w:r>
        <w:t xml:space="preserve"> Summary</w:t>
      </w:r>
    </w:p>
    <w:p w:rsidR="002016F9" w:rsidRDefault="002016F9" w:rsidP="002016F9">
      <w:pPr>
        <w:spacing w:before="0" w:line="240" w:lineRule="auto"/>
      </w:pPr>
      <w:r>
        <w:t xml:space="preserve">D </w:t>
      </w:r>
      <w:proofErr w:type="gramStart"/>
      <w:r>
        <w:t>-  LPC</w:t>
      </w:r>
      <w:proofErr w:type="gramEnd"/>
      <w:r>
        <w:t xml:space="preserve"> Organogram   </w:t>
      </w:r>
    </w:p>
    <w:p w:rsidR="002016F9" w:rsidRDefault="002016F9" w:rsidP="002016F9">
      <w:pPr>
        <w:rPr>
          <w:b/>
          <w:sz w:val="32"/>
          <w:szCs w:val="32"/>
        </w:rPr>
      </w:pPr>
      <w:proofErr w:type="gramStart"/>
      <w:r>
        <w:rPr>
          <w:b/>
          <w:sz w:val="32"/>
          <w:szCs w:val="32"/>
        </w:rPr>
        <w:t>1  -</w:t>
      </w:r>
      <w:proofErr w:type="gramEnd"/>
      <w:r>
        <w:rPr>
          <w:b/>
          <w:sz w:val="32"/>
          <w:szCs w:val="32"/>
        </w:rPr>
        <w:t xml:space="preserve">  Purpose</w:t>
      </w:r>
    </w:p>
    <w:p w:rsidR="002016F9" w:rsidRDefault="002016F9" w:rsidP="002016F9">
      <w:pPr>
        <w:spacing w:before="0" w:line="240" w:lineRule="auto"/>
      </w:pPr>
    </w:p>
    <w:p w:rsidR="002016F9" w:rsidRDefault="002016F9" w:rsidP="002016F9">
      <w:pPr>
        <w:spacing w:before="0" w:line="240" w:lineRule="auto"/>
      </w:pPr>
      <w:r>
        <w:t xml:space="preserve">The Low Pay Commission (LPC) is an independent statutory Non-Departmental Public Body set up under the National Minimum Wage Act 1998 to advise the Government on the National Minimum Wage.  The Commission is made up of nine Commissioners and supported by a small Secretariat.  </w:t>
      </w:r>
    </w:p>
    <w:p w:rsidR="002016F9" w:rsidRDefault="002016F9" w:rsidP="002016F9">
      <w:pPr>
        <w:spacing w:before="0" w:line="240" w:lineRule="auto"/>
      </w:pPr>
    </w:p>
    <w:p w:rsidR="002016F9" w:rsidRDefault="002016F9" w:rsidP="002016F9">
      <w:pPr>
        <w:spacing w:before="0" w:line="240" w:lineRule="auto"/>
      </w:pPr>
      <w:r>
        <w:t xml:space="preserve">The Commission receives its funding from the Department for Business, Innovation and Skills (BIS), and the relationship between the two organisations is governed by a Framework Agreement.  </w:t>
      </w:r>
    </w:p>
    <w:p w:rsidR="002016F9" w:rsidRDefault="002016F9" w:rsidP="002016F9">
      <w:pPr>
        <w:spacing w:before="0" w:line="240" w:lineRule="auto"/>
      </w:pPr>
    </w:p>
    <w:p w:rsidR="002016F9" w:rsidRDefault="002016F9" w:rsidP="002016F9">
      <w:pPr>
        <w:spacing w:before="0" w:line="240" w:lineRule="auto"/>
      </w:pPr>
      <w:r>
        <w:t>The Low Pay Commission’s goal is to</w:t>
      </w:r>
      <w:r w:rsidR="005D5BEF">
        <w:t xml:space="preserve"> advise Government on the National Minimum Wage. It</w:t>
      </w:r>
      <w:r>
        <w:t xml:space="preserve"> recommend</w:t>
      </w:r>
      <w:r w:rsidR="005D5BEF">
        <w:t>s</w:t>
      </w:r>
      <w:r>
        <w:t xml:space="preserve"> </w:t>
      </w:r>
      <w:r w:rsidR="009038C9">
        <w:t>the level</w:t>
      </w:r>
      <w:r>
        <w:t xml:space="preserve"> of </w:t>
      </w:r>
      <w:r w:rsidR="009038C9">
        <w:t>four rates of the minimum wage</w:t>
      </w:r>
      <w:r>
        <w:t xml:space="preserve"> </w:t>
      </w:r>
      <w:r w:rsidR="009038C9">
        <w:t xml:space="preserve">- the adult rate, the Youth Development Rate (18-20s), </w:t>
      </w:r>
      <w:proofErr w:type="gramStart"/>
      <w:r w:rsidR="009038C9">
        <w:t>the 16-17 Year Old Rate</w:t>
      </w:r>
      <w:proofErr w:type="gramEnd"/>
      <w:r w:rsidR="009038C9">
        <w:t xml:space="preserve"> and the Apprentice Rate - to</w:t>
      </w:r>
      <w:r>
        <w:t xml:space="preserve"> help as many low-paid workers as possible without any significant adverse impact on employment or the economy. </w:t>
      </w:r>
      <w:r w:rsidR="009038C9">
        <w:t>It also advises on the path of the new National Living Wage, which applies to workers aged 25 and over from April 2016.</w:t>
      </w:r>
      <w:r>
        <w:t xml:space="preserve"> The advice it offers the Government will be based on the best available evidence.  The Commission undertakes this work as part of the Department’s stated action to support </w:t>
      </w:r>
      <w:r>
        <w:rPr>
          <w:rFonts w:cs="Arial"/>
          <w:bCs/>
          <w:color w:val="000000"/>
          <w:sz w:val="23"/>
          <w:szCs w:val="23"/>
        </w:rPr>
        <w:t>a fair, effective and efficient labour market.</w:t>
      </w:r>
      <w:r>
        <w:rPr>
          <w:rFonts w:cs="Arial"/>
          <w:b/>
          <w:bCs/>
          <w:color w:val="000000"/>
          <w:sz w:val="23"/>
          <w:szCs w:val="23"/>
        </w:rPr>
        <w:t xml:space="preserve"> </w:t>
      </w:r>
      <w:r>
        <w:t xml:space="preserve"> The Government gives the Commission a remit each year, requesting it to include in its report advice on some areas in particular.  The 2015-16 remit is shown at Annex A.  </w:t>
      </w:r>
    </w:p>
    <w:p w:rsidR="002016F9" w:rsidRDefault="002016F9" w:rsidP="002016F9">
      <w:pPr>
        <w:spacing w:before="0" w:line="240" w:lineRule="auto"/>
      </w:pPr>
    </w:p>
    <w:p w:rsidR="002016F9" w:rsidRDefault="002016F9" w:rsidP="002016F9">
      <w:pPr>
        <w:spacing w:before="0" w:line="240" w:lineRule="auto"/>
        <w:rPr>
          <w:b/>
        </w:rPr>
      </w:pPr>
      <w:r>
        <w:t xml:space="preserve">The purpose of the LPC Secretariat is </w:t>
      </w:r>
      <w:r>
        <w:rPr>
          <w:b/>
        </w:rPr>
        <w:t>to work collectively and individually to provide a robust evidence base on which the LPC can base its findings and to provide support for Low Pay Commissioners so that the Commission delivers on its remit in full and on time.</w:t>
      </w:r>
    </w:p>
    <w:p w:rsidR="002016F9" w:rsidRDefault="002016F9" w:rsidP="002016F9">
      <w:pPr>
        <w:spacing w:before="0" w:line="240" w:lineRule="auto"/>
      </w:pPr>
    </w:p>
    <w:p w:rsidR="002016F9" w:rsidRDefault="002016F9" w:rsidP="002016F9">
      <w:pPr>
        <w:spacing w:before="0" w:line="240" w:lineRule="auto"/>
      </w:pPr>
      <w:r>
        <w:t>This business plan sets out what the Secretariat will do in 2015-16 in order to achieve this purpose and the resources it will use.</w:t>
      </w:r>
    </w:p>
    <w:p w:rsidR="002016F9" w:rsidRDefault="002016F9" w:rsidP="002016F9">
      <w:pPr>
        <w:spacing w:before="0" w:line="240" w:lineRule="auto"/>
      </w:pPr>
    </w:p>
    <w:p w:rsidR="002016F9" w:rsidRDefault="002016F9" w:rsidP="002016F9">
      <w:pPr>
        <w:spacing w:before="0" w:line="240" w:lineRule="auto"/>
        <w:rPr>
          <w:b/>
          <w:sz w:val="32"/>
          <w:szCs w:val="32"/>
        </w:rPr>
      </w:pPr>
    </w:p>
    <w:p w:rsidR="002016F9" w:rsidRDefault="002016F9" w:rsidP="002016F9">
      <w:pPr>
        <w:spacing w:before="0" w:line="240" w:lineRule="auto"/>
        <w:rPr>
          <w:b/>
          <w:sz w:val="32"/>
          <w:szCs w:val="32"/>
        </w:rPr>
      </w:pPr>
      <w:proofErr w:type="gramStart"/>
      <w:r>
        <w:rPr>
          <w:b/>
          <w:sz w:val="32"/>
          <w:szCs w:val="32"/>
        </w:rPr>
        <w:t>2  -</w:t>
      </w:r>
      <w:proofErr w:type="gramEnd"/>
      <w:r>
        <w:rPr>
          <w:b/>
          <w:sz w:val="32"/>
          <w:szCs w:val="32"/>
        </w:rPr>
        <w:t xml:space="preserve">  Key Milestones</w:t>
      </w:r>
    </w:p>
    <w:p w:rsidR="002016F9" w:rsidRDefault="002016F9" w:rsidP="002016F9">
      <w:pPr>
        <w:spacing w:before="0" w:line="240" w:lineRule="auto"/>
      </w:pPr>
    </w:p>
    <w:p w:rsidR="002016F9" w:rsidRDefault="002016F9" w:rsidP="002016F9">
      <w:pPr>
        <w:spacing w:before="0" w:line="240" w:lineRule="auto"/>
      </w:pPr>
      <w:r>
        <w:t>In order to meet its objectives the Secretariat has commissioned a programme of research (see section 3 below) and prepared a Work Programme for 2015-16, setting out its main actions and tasks.  The following key milestones have been set to ensure the Secretariat assists the Commission in fulfilling its remit.</w:t>
      </w:r>
    </w:p>
    <w:p w:rsidR="002016F9" w:rsidRDefault="002016F9" w:rsidP="002016F9"/>
    <w:p w:rsidR="002016F9" w:rsidRDefault="002016F9" w:rsidP="002016F9">
      <w:pPr>
        <w:rPr>
          <w:color w:val="FF0000"/>
        </w:rPr>
      </w:pPr>
    </w:p>
    <w:p w:rsidR="002016F9" w:rsidRDefault="002016F9" w:rsidP="002016F9">
      <w:pPr>
        <w:rPr>
          <w:color w:val="FF0000"/>
        </w:rPr>
      </w:pPr>
    </w:p>
    <w:p w:rsidR="00297079" w:rsidRDefault="00297079" w:rsidP="002016F9">
      <w:pPr>
        <w:rPr>
          <w:color w:val="FF0000"/>
        </w:rPr>
      </w:pPr>
    </w:p>
    <w:p w:rsidR="00297079" w:rsidRDefault="00297079" w:rsidP="002016F9">
      <w:pPr>
        <w:rPr>
          <w:color w:val="FF0000"/>
        </w:rPr>
      </w:pP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88"/>
        <w:gridCol w:w="3060"/>
      </w:tblGrid>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rPr>
                <w:b/>
              </w:rPr>
            </w:pPr>
            <w:r>
              <w:rPr>
                <w:b/>
              </w:rPr>
              <w:t>Milestone</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rPr>
                <w:b/>
              </w:rPr>
            </w:pPr>
            <w:r>
              <w:rPr>
                <w:b/>
              </w:rPr>
              <w:t xml:space="preserve">     Target Completion       </w:t>
            </w:r>
          </w:p>
          <w:p w:rsidR="002016F9" w:rsidRDefault="002016F9" w:rsidP="00831AC3">
            <w:pPr>
              <w:spacing w:before="120" w:after="120" w:line="240" w:lineRule="auto"/>
              <w:rPr>
                <w:b/>
              </w:rPr>
            </w:pPr>
            <w:r>
              <w:rPr>
                <w:b/>
              </w:rPr>
              <w:t xml:space="preserve">                Date</w:t>
            </w:r>
          </w:p>
        </w:tc>
      </w:tr>
      <w:tr w:rsidR="002016F9" w:rsidTr="00831AC3">
        <w:tc>
          <w:tcPr>
            <w:tcW w:w="10188" w:type="dxa"/>
            <w:tcBorders>
              <w:top w:val="single" w:sz="4" w:space="0" w:color="auto"/>
              <w:left w:val="single" w:sz="4" w:space="0" w:color="auto"/>
              <w:bottom w:val="single" w:sz="4" w:space="0" w:color="auto"/>
              <w:right w:val="single" w:sz="4" w:space="0" w:color="auto"/>
            </w:tcBorders>
            <w:vAlign w:val="center"/>
            <w:hideMark/>
          </w:tcPr>
          <w:p w:rsidR="002016F9" w:rsidRDefault="002016F9" w:rsidP="00831AC3">
            <w:pPr>
              <w:spacing w:before="120" w:after="120" w:line="240" w:lineRule="auto"/>
            </w:pPr>
            <w:r>
              <w:t xml:space="preserve">Define and commission a programme of external research projects for the </w:t>
            </w:r>
            <w:r w:rsidR="00E77A6B">
              <w:t xml:space="preserve">February </w:t>
            </w:r>
            <w:r>
              <w:t>2016 Report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April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E77A6B">
            <w:pPr>
              <w:spacing w:before="120" w:after="120" w:line="240" w:lineRule="auto"/>
            </w:pPr>
            <w:r>
              <w:t xml:space="preserve">Hold research workshop to agree methodology and content of research projects for the </w:t>
            </w:r>
            <w:r w:rsidR="00E77A6B">
              <w:t xml:space="preserve">February </w:t>
            </w:r>
            <w:r>
              <w:t>201</w:t>
            </w:r>
            <w:r w:rsidR="00E77A6B">
              <w:t>6</w:t>
            </w:r>
            <w:r>
              <w:t xml:space="preserve"> Report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April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Agree a work programme for the </w:t>
            </w:r>
            <w:r w:rsidR="00E77A6B">
              <w:t xml:space="preserve">February </w:t>
            </w:r>
            <w:r>
              <w:t>2016 Report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May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Agree a visits programme for the </w:t>
            </w:r>
            <w:r w:rsidR="00E77A6B">
              <w:t xml:space="preserve">February </w:t>
            </w:r>
            <w:r>
              <w:t>2016 Report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             May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Agree a research programme for the </w:t>
            </w:r>
            <w:r w:rsidR="00E77A6B">
              <w:t xml:space="preserve">February </w:t>
            </w:r>
            <w:r>
              <w:t xml:space="preserve">2016 Report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May 2015</w:t>
            </w:r>
          </w:p>
        </w:tc>
      </w:tr>
      <w:tr w:rsidR="002016F9" w:rsidTr="00831AC3">
        <w:tc>
          <w:tcPr>
            <w:tcW w:w="10188" w:type="dxa"/>
            <w:tcBorders>
              <w:top w:val="single" w:sz="4" w:space="0" w:color="auto"/>
              <w:left w:val="single" w:sz="4" w:space="0" w:color="auto"/>
              <w:bottom w:val="single" w:sz="4" w:space="0" w:color="auto"/>
              <w:right w:val="single" w:sz="4" w:space="0" w:color="auto"/>
            </w:tcBorders>
          </w:tcPr>
          <w:p w:rsidR="002016F9" w:rsidRPr="008E0BD8" w:rsidRDefault="002016F9" w:rsidP="00E77A6B">
            <w:pPr>
              <w:spacing w:before="120" w:after="120" w:line="240" w:lineRule="auto"/>
            </w:pPr>
            <w:r w:rsidRPr="008E0BD8">
              <w:t>Review Business Plan</w:t>
            </w:r>
            <w:r w:rsidR="00C62CA9">
              <w:t xml:space="preserve">, work programme, and research programme </w:t>
            </w:r>
            <w:r w:rsidRPr="008E0BD8">
              <w:t xml:space="preserve">in light of remit and role for </w:t>
            </w:r>
            <w:r w:rsidR="00E77A6B">
              <w:t xml:space="preserve">February </w:t>
            </w:r>
            <w:r w:rsidRPr="008E0BD8">
              <w:t>2016 Re</w:t>
            </w:r>
            <w:r w:rsidR="00E77A6B">
              <w:t>port</w:t>
            </w:r>
          </w:p>
        </w:tc>
        <w:tc>
          <w:tcPr>
            <w:tcW w:w="3060" w:type="dxa"/>
            <w:tcBorders>
              <w:top w:val="single" w:sz="4" w:space="0" w:color="auto"/>
              <w:left w:val="single" w:sz="4" w:space="0" w:color="auto"/>
              <w:bottom w:val="single" w:sz="4" w:space="0" w:color="auto"/>
              <w:right w:val="single" w:sz="4" w:space="0" w:color="auto"/>
            </w:tcBorders>
          </w:tcPr>
          <w:p w:rsidR="002016F9" w:rsidRPr="008E0BD8" w:rsidRDefault="002016F9" w:rsidP="00C62CA9">
            <w:pPr>
              <w:spacing w:before="120" w:after="120" w:line="240" w:lineRule="auto"/>
              <w:jc w:val="center"/>
            </w:pPr>
            <w:r w:rsidRPr="008E0BD8">
              <w:t>Ju</w:t>
            </w:r>
            <w:r w:rsidR="00C62CA9">
              <w:t>ly</w:t>
            </w:r>
            <w:r w:rsidRPr="008E0BD8">
              <w:t xml:space="preserve"> 2015</w:t>
            </w:r>
          </w:p>
        </w:tc>
      </w:tr>
      <w:tr w:rsidR="00C62CA9" w:rsidTr="00831AC3">
        <w:tc>
          <w:tcPr>
            <w:tcW w:w="10188" w:type="dxa"/>
            <w:tcBorders>
              <w:top w:val="single" w:sz="4" w:space="0" w:color="auto"/>
              <w:left w:val="single" w:sz="4" w:space="0" w:color="auto"/>
              <w:bottom w:val="single" w:sz="4" w:space="0" w:color="auto"/>
              <w:right w:val="single" w:sz="4" w:space="0" w:color="auto"/>
            </w:tcBorders>
          </w:tcPr>
          <w:p w:rsidR="00C62CA9" w:rsidRPr="008E0BD8" w:rsidRDefault="00C62CA9" w:rsidP="00831AC3">
            <w:pPr>
              <w:spacing w:before="120" w:after="120" w:line="240" w:lineRule="auto"/>
            </w:pPr>
            <w:r>
              <w:t>Launch formal consultation for the February 2016 Report</w:t>
            </w:r>
          </w:p>
        </w:tc>
        <w:tc>
          <w:tcPr>
            <w:tcW w:w="3060" w:type="dxa"/>
            <w:tcBorders>
              <w:top w:val="single" w:sz="4" w:space="0" w:color="auto"/>
              <w:left w:val="single" w:sz="4" w:space="0" w:color="auto"/>
              <w:bottom w:val="single" w:sz="4" w:space="0" w:color="auto"/>
              <w:right w:val="single" w:sz="4" w:space="0" w:color="auto"/>
            </w:tcBorders>
          </w:tcPr>
          <w:p w:rsidR="00C62CA9" w:rsidRPr="008E0BD8" w:rsidRDefault="00C62CA9" w:rsidP="00C62CA9">
            <w:pPr>
              <w:spacing w:before="120" w:after="120" w:line="240" w:lineRule="auto"/>
              <w:jc w:val="center"/>
            </w:pPr>
            <w:r>
              <w:t>Late July/Early August 2015</w:t>
            </w:r>
          </w:p>
        </w:tc>
      </w:tr>
      <w:tr w:rsidR="002016F9" w:rsidTr="00831AC3">
        <w:tc>
          <w:tcPr>
            <w:tcW w:w="10188" w:type="dxa"/>
            <w:tcBorders>
              <w:top w:val="single" w:sz="4" w:space="0" w:color="auto"/>
              <w:left w:val="single" w:sz="4" w:space="0" w:color="auto"/>
              <w:bottom w:val="single" w:sz="4" w:space="0" w:color="auto"/>
              <w:right w:val="single" w:sz="4" w:space="0" w:color="auto"/>
            </w:tcBorders>
          </w:tcPr>
          <w:p w:rsidR="002016F9" w:rsidRPr="008E0BD8" w:rsidRDefault="002016F9" w:rsidP="00831AC3">
            <w:pPr>
              <w:spacing w:before="120" w:after="120" w:line="240" w:lineRule="auto"/>
            </w:pPr>
            <w:r>
              <w:t>Launch re-branding of LPC and other communication activities (blog, corporate Twitter, occasional papers and leaflets)</w:t>
            </w:r>
          </w:p>
        </w:tc>
        <w:tc>
          <w:tcPr>
            <w:tcW w:w="3060" w:type="dxa"/>
            <w:tcBorders>
              <w:top w:val="single" w:sz="4" w:space="0" w:color="auto"/>
              <w:left w:val="single" w:sz="4" w:space="0" w:color="auto"/>
              <w:bottom w:val="single" w:sz="4" w:space="0" w:color="auto"/>
              <w:right w:val="single" w:sz="4" w:space="0" w:color="auto"/>
            </w:tcBorders>
          </w:tcPr>
          <w:p w:rsidR="002016F9" w:rsidRPr="008E0BD8" w:rsidRDefault="005D5BEF" w:rsidP="00C62CA9">
            <w:pPr>
              <w:spacing w:before="120" w:after="120" w:line="240" w:lineRule="auto"/>
              <w:jc w:val="center"/>
            </w:pPr>
            <w:r>
              <w:t>September</w:t>
            </w:r>
            <w:r w:rsidR="002016F9">
              <w:t xml:space="preserve">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Hold research symposium to discuss findings from the commissioned research and invite interested parties to attend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September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Close formal consultation, record and summarise all responses</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September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Quarterly examination of actual expenditure and planned expenditure for the rest of the year</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July 2015, October 2015, January 2016, April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Quarterly examination of the LPC’s risk register</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ind w:right="26"/>
              <w:jc w:val="center"/>
            </w:pPr>
            <w:r>
              <w:t xml:space="preserve">June 2015, September </w:t>
            </w:r>
            <w:r>
              <w:lastRenderedPageBreak/>
              <w:t xml:space="preserve">2015, December 2015, March 2016. </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lastRenderedPageBreak/>
              <w:t>Two-day oral evidence sessions arranged and undertaken</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November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Externally commissioned research projects for the </w:t>
            </w:r>
            <w:r w:rsidR="00C62CA9">
              <w:t xml:space="preserve">February </w:t>
            </w:r>
            <w:r>
              <w:t xml:space="preserve">2016 Report delivered to time and budget; findings presented to the Commission.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October/December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Complete the visits programme</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November 2015</w:t>
            </w:r>
          </w:p>
        </w:tc>
      </w:tr>
      <w:tr w:rsidR="005D5BEF" w:rsidTr="00831AC3">
        <w:tc>
          <w:tcPr>
            <w:tcW w:w="10188"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pPr>
            <w:r>
              <w:t>Input into internal Government review of the National Minimum Wage and National Living Wage cycle</w:t>
            </w:r>
          </w:p>
        </w:tc>
        <w:tc>
          <w:tcPr>
            <w:tcW w:w="3060"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jc w:val="center"/>
            </w:pPr>
            <w:r>
              <w:t>Autumn 2015</w:t>
            </w:r>
          </w:p>
        </w:tc>
      </w:tr>
      <w:tr w:rsidR="005D5BEF" w:rsidTr="00831AC3">
        <w:tc>
          <w:tcPr>
            <w:tcW w:w="10188"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pPr>
            <w:r>
              <w:t>Plan activity for October 2016 Report on the National Living Wage</w:t>
            </w:r>
          </w:p>
        </w:tc>
        <w:tc>
          <w:tcPr>
            <w:tcW w:w="3060"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jc w:val="center"/>
            </w:pPr>
            <w:r>
              <w:t>Autumn 2015</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Commission agrees National Minimum Wage rates and other recommendations for its </w:t>
            </w:r>
            <w:r w:rsidR="00C62CA9">
              <w:t xml:space="preserve">February </w:t>
            </w:r>
            <w:r>
              <w:t xml:space="preserve">2016 Report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January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Develop proposals and issue Tenders for a programme of external research projects for the 2017 Report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Jan/Feb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Commission agrees and signs-off its </w:t>
            </w:r>
            <w:r w:rsidR="00C62CA9">
              <w:t xml:space="preserve">February </w:t>
            </w:r>
            <w:r>
              <w:t xml:space="preserve">2016 Report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February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Completion of the work programme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February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Report delivered to the Government</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February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Acceptance of all commissioned research reports (for the </w:t>
            </w:r>
            <w:r w:rsidR="00C62CA9">
              <w:t xml:space="preserve">February </w:t>
            </w:r>
            <w:r>
              <w:t xml:space="preserve">2016 Report) and all projects invoiced and paid </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February/ March 2016</w:t>
            </w:r>
          </w:p>
        </w:tc>
      </w:tr>
      <w:tr w:rsidR="002016F9" w:rsidTr="00831AC3">
        <w:tc>
          <w:tcPr>
            <w:tcW w:w="10188"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pPr>
            <w:r>
              <w:t xml:space="preserve">Briefing for </w:t>
            </w:r>
            <w:r w:rsidR="00C62CA9">
              <w:t xml:space="preserve">February </w:t>
            </w:r>
            <w:r>
              <w:t>2016 Report announcement completed and agreed with Commissioners</w:t>
            </w:r>
          </w:p>
        </w:tc>
        <w:tc>
          <w:tcPr>
            <w:tcW w:w="3060" w:type="dxa"/>
            <w:tcBorders>
              <w:top w:val="single" w:sz="4" w:space="0" w:color="auto"/>
              <w:left w:val="single" w:sz="4" w:space="0" w:color="auto"/>
              <w:bottom w:val="single" w:sz="4" w:space="0" w:color="auto"/>
              <w:right w:val="single" w:sz="4" w:space="0" w:color="auto"/>
            </w:tcBorders>
            <w:hideMark/>
          </w:tcPr>
          <w:p w:rsidR="002016F9" w:rsidRDefault="002016F9" w:rsidP="00831AC3">
            <w:pPr>
              <w:spacing w:before="120" w:after="120" w:line="240" w:lineRule="auto"/>
              <w:jc w:val="center"/>
            </w:pPr>
            <w:r>
              <w:t>March 2016</w:t>
            </w:r>
          </w:p>
        </w:tc>
      </w:tr>
      <w:tr w:rsidR="005D5BEF" w:rsidTr="00831AC3">
        <w:tc>
          <w:tcPr>
            <w:tcW w:w="10188"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pPr>
            <w:r>
              <w:t>Begin consultation for the October 2016 Report on the National Living Wage</w:t>
            </w:r>
          </w:p>
        </w:tc>
        <w:tc>
          <w:tcPr>
            <w:tcW w:w="3060" w:type="dxa"/>
            <w:tcBorders>
              <w:top w:val="single" w:sz="4" w:space="0" w:color="auto"/>
              <w:left w:val="single" w:sz="4" w:space="0" w:color="auto"/>
              <w:bottom w:val="single" w:sz="4" w:space="0" w:color="auto"/>
              <w:right w:val="single" w:sz="4" w:space="0" w:color="auto"/>
            </w:tcBorders>
          </w:tcPr>
          <w:p w:rsidR="005D5BEF" w:rsidRDefault="005D5BEF" w:rsidP="00831AC3">
            <w:pPr>
              <w:spacing w:before="120" w:after="120" w:line="240" w:lineRule="auto"/>
              <w:jc w:val="center"/>
            </w:pPr>
            <w:r>
              <w:t>March 2016</w:t>
            </w:r>
          </w:p>
        </w:tc>
      </w:tr>
    </w:tbl>
    <w:p w:rsidR="002016F9" w:rsidRDefault="002016F9" w:rsidP="002016F9">
      <w:r>
        <w:t xml:space="preserve">    </w:t>
      </w:r>
    </w:p>
    <w:p w:rsidR="002016F9" w:rsidRDefault="002016F9" w:rsidP="002016F9">
      <w:pPr>
        <w:spacing w:before="0" w:line="240" w:lineRule="auto"/>
      </w:pPr>
      <w:r>
        <w:rPr>
          <w:b/>
          <w:sz w:val="32"/>
          <w:szCs w:val="32"/>
        </w:rPr>
        <w:br w:type="page"/>
      </w:r>
      <w:r>
        <w:rPr>
          <w:b/>
          <w:sz w:val="32"/>
          <w:szCs w:val="32"/>
        </w:rPr>
        <w:lastRenderedPageBreak/>
        <w:t>3 - Research</w:t>
      </w:r>
    </w:p>
    <w:p w:rsidR="002016F9" w:rsidRDefault="002016F9" w:rsidP="002016F9">
      <w:pPr>
        <w:spacing w:before="0" w:line="240" w:lineRule="auto"/>
      </w:pPr>
    </w:p>
    <w:p w:rsidR="002016F9" w:rsidRDefault="002016F9" w:rsidP="002016F9">
      <w:pPr>
        <w:spacing w:before="0" w:line="240" w:lineRule="auto"/>
      </w:pPr>
      <w:r>
        <w:t xml:space="preserve">In order to meet the priorities set by the Commission, a programme of external research has been established and a number of research contracts let.  The purpose of commissioning external research is to add to the Commission’s evidence base, by providing independent robust findings on the impact of the minimum wage.  Details of the research contracts let for the 2016 Report can be found at Annex B. </w:t>
      </w:r>
    </w:p>
    <w:p w:rsidR="002016F9" w:rsidRDefault="002016F9" w:rsidP="002016F9">
      <w:pPr>
        <w:spacing w:before="0" w:line="240" w:lineRule="auto"/>
      </w:pPr>
    </w:p>
    <w:p w:rsidR="002016F9" w:rsidRDefault="002016F9" w:rsidP="002016F9">
      <w:pPr>
        <w:spacing w:before="0" w:line="240" w:lineRule="auto"/>
      </w:pPr>
      <w:r>
        <w:t>Each research project will be managed by a member of the Secretariat (the project manager), who will be responsible for ensuring that a contract for the research is agreed and put in place, the conditions of the contract are fulfilled, progress is monitored, and upon completion payment is made to the contractor.  Commissioners will be given regular updates on the progress of the research projects.</w:t>
      </w:r>
    </w:p>
    <w:p w:rsidR="002016F9" w:rsidRDefault="002016F9" w:rsidP="002016F9">
      <w:pPr>
        <w:spacing w:before="0" w:line="240" w:lineRule="auto"/>
      </w:pPr>
      <w:r>
        <w:t xml:space="preserve">   </w:t>
      </w:r>
    </w:p>
    <w:p w:rsidR="002016F9" w:rsidRDefault="002016F9" w:rsidP="002016F9">
      <w:pPr>
        <w:spacing w:before="0" w:line="240" w:lineRule="auto"/>
      </w:pPr>
    </w:p>
    <w:p w:rsidR="002016F9" w:rsidRDefault="002016F9" w:rsidP="002016F9">
      <w:pPr>
        <w:spacing w:before="0" w:line="240" w:lineRule="auto"/>
        <w:rPr>
          <w:b/>
          <w:sz w:val="32"/>
          <w:szCs w:val="32"/>
        </w:rPr>
      </w:pPr>
      <w:r>
        <w:rPr>
          <w:b/>
          <w:sz w:val="32"/>
          <w:szCs w:val="32"/>
        </w:rPr>
        <w:t>4 - Risks</w:t>
      </w:r>
    </w:p>
    <w:p w:rsidR="002016F9" w:rsidRDefault="002016F9" w:rsidP="002016F9">
      <w:pPr>
        <w:spacing w:before="0" w:line="240" w:lineRule="auto"/>
        <w:rPr>
          <w:b/>
          <w:sz w:val="32"/>
          <w:szCs w:val="32"/>
        </w:rPr>
      </w:pPr>
    </w:p>
    <w:p w:rsidR="002016F9" w:rsidRDefault="002016F9" w:rsidP="002016F9">
      <w:pPr>
        <w:spacing w:before="0" w:line="240" w:lineRule="auto"/>
      </w:pPr>
      <w:r>
        <w:t xml:space="preserve">The Secretariat has identified the key procedural and operational risks and incorporated these into a risk register.  The register will be reviewed by the Secretariat on a quarterly basis, updated as appropriate, and copied to the Sponsor Team in BIS. </w:t>
      </w:r>
    </w:p>
    <w:p w:rsidR="002016F9" w:rsidRDefault="002016F9" w:rsidP="002016F9">
      <w:pPr>
        <w:rPr>
          <w:b/>
          <w:sz w:val="32"/>
          <w:szCs w:val="32"/>
        </w:rPr>
      </w:pPr>
      <w:r>
        <w:rPr>
          <w:b/>
          <w:sz w:val="32"/>
          <w:szCs w:val="32"/>
        </w:rPr>
        <w:t>5 - Resources</w:t>
      </w:r>
    </w:p>
    <w:p w:rsidR="002016F9" w:rsidRDefault="002016F9" w:rsidP="002016F9">
      <w:pPr>
        <w:spacing w:before="0" w:line="240" w:lineRule="auto"/>
      </w:pPr>
      <w:r>
        <w:t>BIS provides the Commission with its annual budget.  The Secretary to the Commission is the designated accounting officer and will be responsible for providing assurances to BIS with regard to the management and control of the resources.  This will be done through quarterly reports to BIS which will be produced to assess whether they meet the LPC Business Plan, and through response to BIS’s Mid-Year and End-Year Budget review exercises.</w:t>
      </w:r>
    </w:p>
    <w:p w:rsidR="002016F9" w:rsidRDefault="002016F9" w:rsidP="002016F9">
      <w:pPr>
        <w:spacing w:before="0" w:line="240" w:lineRule="auto"/>
      </w:pPr>
    </w:p>
    <w:p w:rsidR="002016F9" w:rsidRDefault="002016F9" w:rsidP="002016F9">
      <w:pPr>
        <w:spacing w:before="0" w:line="240" w:lineRule="auto"/>
      </w:pPr>
      <w:r>
        <w:t xml:space="preserve">The Secretariat will report monthly to BIS on its expenditure.  All expenditure will be made in accordance with departmental guidelines.  The Secretariat will at all </w:t>
      </w:r>
      <w:proofErr w:type="gramStart"/>
      <w:r>
        <w:t>times</w:t>
      </w:r>
      <w:proofErr w:type="gramEnd"/>
      <w:r>
        <w:t xml:space="preserve"> keep in mind the need to ensure value for money and will seek ways to increase its efficiency and effectiveness and thus reduce its costs.  Actions taken which </w:t>
      </w:r>
      <w:r>
        <w:rPr>
          <w:rFonts w:cs="Arial"/>
        </w:rPr>
        <w:t xml:space="preserve">reduce costs and improve efficiency will be reported to the Department. </w:t>
      </w:r>
    </w:p>
    <w:p w:rsidR="002016F9" w:rsidRDefault="002016F9" w:rsidP="002016F9">
      <w:pPr>
        <w:spacing w:before="0" w:line="240" w:lineRule="auto"/>
      </w:pPr>
    </w:p>
    <w:p w:rsidR="002016F9" w:rsidRDefault="002016F9" w:rsidP="002016F9">
      <w:pPr>
        <w:spacing w:before="0" w:line="240" w:lineRule="auto"/>
      </w:pPr>
    </w:p>
    <w:p w:rsidR="002016F9" w:rsidRDefault="002016F9" w:rsidP="002016F9">
      <w:pPr>
        <w:spacing w:before="0" w:line="240" w:lineRule="auto"/>
      </w:pPr>
      <w:r>
        <w:t>The LPC’s budget for 2015-16 is £827,000.  The Commission has agreed how resources will be allocated for its 2016 Report between research, staffing and other costs.  The breakdown of the LPC’s projected spending is at Annex C.  Annex B provides details of the research contracts for the 2016 Report, and Annex D shows the staffing structure for the Secretariat for the 2016 Report.</w:t>
      </w:r>
    </w:p>
    <w:p w:rsidR="002016F9" w:rsidRDefault="002016F9" w:rsidP="002016F9">
      <w:pPr>
        <w:spacing w:before="0" w:line="240" w:lineRule="auto"/>
      </w:pPr>
    </w:p>
    <w:p w:rsidR="002016F9" w:rsidRDefault="002016F9" w:rsidP="002016F9">
      <w:pPr>
        <w:spacing w:before="0" w:line="240" w:lineRule="auto"/>
      </w:pPr>
      <w:r>
        <w:lastRenderedPageBreak/>
        <w:t xml:space="preserve">All members of the Secretariat will be managed, and have their performance appraised, in accordance with BIS guidelines.  All Commissioners will have an annual performance appraisal, after publication of the 2016 Report.  Commissioners will be appraised by the Chair, and the Chair will be appraised by the Director, Labour Market Directorate, </w:t>
      </w:r>
      <w:proofErr w:type="gramStart"/>
      <w:r>
        <w:t>BIS</w:t>
      </w:r>
      <w:proofErr w:type="gramEnd"/>
      <w:r>
        <w:t xml:space="preserve">.   </w:t>
      </w:r>
    </w:p>
    <w:p w:rsidR="002016F9" w:rsidRDefault="002016F9" w:rsidP="002016F9">
      <w:pPr>
        <w:spacing w:before="0" w:line="240" w:lineRule="auto"/>
        <w:rPr>
          <w:b/>
          <w:sz w:val="32"/>
          <w:szCs w:val="32"/>
        </w:rPr>
      </w:pPr>
    </w:p>
    <w:p w:rsidR="002016F9" w:rsidRDefault="002016F9" w:rsidP="002016F9">
      <w:pPr>
        <w:spacing w:before="0" w:line="240" w:lineRule="auto"/>
        <w:rPr>
          <w:b/>
          <w:sz w:val="32"/>
          <w:szCs w:val="32"/>
        </w:rPr>
      </w:pPr>
      <w:r>
        <w:rPr>
          <w:b/>
          <w:sz w:val="32"/>
          <w:szCs w:val="32"/>
        </w:rPr>
        <w:t>6 - Transparency</w:t>
      </w:r>
    </w:p>
    <w:p w:rsidR="002016F9" w:rsidRDefault="002016F9" w:rsidP="002016F9">
      <w:pPr>
        <w:spacing w:before="0" w:line="240" w:lineRule="auto"/>
        <w:rPr>
          <w:b/>
          <w:sz w:val="32"/>
          <w:szCs w:val="32"/>
        </w:rPr>
      </w:pPr>
    </w:p>
    <w:p w:rsidR="002016F9" w:rsidRDefault="002016F9" w:rsidP="002016F9">
      <w:pPr>
        <w:spacing w:before="0" w:line="240" w:lineRule="auto"/>
      </w:pPr>
      <w:r>
        <w:t xml:space="preserve">The LPC will comply with the Government’s requirements on transparency, as given to sponsoring departments.  We will operate transparently, but will protect sensitive data.  </w:t>
      </w:r>
    </w:p>
    <w:p w:rsidR="002016F9" w:rsidRDefault="002016F9" w:rsidP="002016F9">
      <w:pPr>
        <w:spacing w:before="0" w:line="240" w:lineRule="auto"/>
      </w:pPr>
    </w:p>
    <w:p w:rsidR="002016F9" w:rsidRDefault="002016F9" w:rsidP="002016F9">
      <w:pPr>
        <w:spacing w:before="0" w:line="240" w:lineRule="auto"/>
      </w:pPr>
    </w:p>
    <w:p w:rsidR="002016F9" w:rsidRDefault="002016F9" w:rsidP="002016F9">
      <w:pPr>
        <w:spacing w:before="0" w:line="240" w:lineRule="auto"/>
      </w:pPr>
      <w:r>
        <w:t>The Commission will publish, and keep up to date, on its website:</w:t>
      </w:r>
    </w:p>
    <w:p w:rsidR="002016F9" w:rsidRDefault="002016F9" w:rsidP="002016F9">
      <w:pPr>
        <w:numPr>
          <w:ilvl w:val="0"/>
          <w:numId w:val="1"/>
        </w:numPr>
        <w:spacing w:before="0" w:line="240" w:lineRule="auto"/>
      </w:pPr>
      <w:r>
        <w:t>details of the LPC’s publication scheme;</w:t>
      </w:r>
    </w:p>
    <w:p w:rsidR="002016F9" w:rsidRDefault="002016F9" w:rsidP="002016F9">
      <w:pPr>
        <w:numPr>
          <w:ilvl w:val="0"/>
          <w:numId w:val="1"/>
        </w:numPr>
        <w:spacing w:before="0" w:line="240" w:lineRule="auto"/>
      </w:pPr>
      <w:r>
        <w:t xml:space="preserve">all responses to requests made under the </w:t>
      </w:r>
      <w:proofErr w:type="spellStart"/>
      <w:r>
        <w:t>FoI</w:t>
      </w:r>
      <w:proofErr w:type="spellEnd"/>
      <w:r>
        <w:t xml:space="preserve"> Act;</w:t>
      </w:r>
    </w:p>
    <w:p w:rsidR="002016F9" w:rsidRDefault="002016F9" w:rsidP="002016F9">
      <w:pPr>
        <w:numPr>
          <w:ilvl w:val="0"/>
          <w:numId w:val="1"/>
        </w:numPr>
        <w:spacing w:before="0" w:line="240" w:lineRule="auto"/>
      </w:pPr>
      <w:r>
        <w:t xml:space="preserve">all LPC expenditure;   </w:t>
      </w:r>
    </w:p>
    <w:p w:rsidR="002016F9" w:rsidRDefault="002016F9" w:rsidP="002016F9">
      <w:pPr>
        <w:numPr>
          <w:ilvl w:val="0"/>
          <w:numId w:val="1"/>
        </w:numPr>
        <w:spacing w:before="0" w:line="240" w:lineRule="auto"/>
      </w:pPr>
      <w:r>
        <w:t xml:space="preserve">details of fees and expenses paid to Commissioners; </w:t>
      </w:r>
    </w:p>
    <w:p w:rsidR="002016F9" w:rsidRDefault="002016F9" w:rsidP="002016F9">
      <w:pPr>
        <w:numPr>
          <w:ilvl w:val="0"/>
          <w:numId w:val="1"/>
        </w:numPr>
        <w:spacing w:before="0" w:line="240" w:lineRule="auto"/>
      </w:pPr>
      <w:r>
        <w:t>a register of Commissioners’ interests;</w:t>
      </w:r>
    </w:p>
    <w:p w:rsidR="002016F9" w:rsidRDefault="002016F9" w:rsidP="002016F9">
      <w:pPr>
        <w:numPr>
          <w:ilvl w:val="0"/>
          <w:numId w:val="1"/>
        </w:numPr>
        <w:spacing w:before="0" w:line="240" w:lineRule="auto"/>
      </w:pPr>
      <w:r>
        <w:t xml:space="preserve">the Commission’s Terms of Reference;  </w:t>
      </w:r>
    </w:p>
    <w:p w:rsidR="002016F9" w:rsidRDefault="002016F9" w:rsidP="00BB1C25">
      <w:pPr>
        <w:numPr>
          <w:ilvl w:val="0"/>
          <w:numId w:val="1"/>
        </w:numPr>
        <w:spacing w:before="0" w:line="240" w:lineRule="auto"/>
      </w:pPr>
      <w:r>
        <w:t>Commissioners’ Code of Conduct</w:t>
      </w:r>
      <w:r w:rsidR="00BB1C25">
        <w:t>; and</w:t>
      </w:r>
      <w:r>
        <w:t xml:space="preserve"> </w:t>
      </w:r>
    </w:p>
    <w:p w:rsidR="00BB1C25" w:rsidRDefault="00BB1C25" w:rsidP="00BB1C25">
      <w:pPr>
        <w:numPr>
          <w:ilvl w:val="0"/>
          <w:numId w:val="1"/>
        </w:numPr>
        <w:spacing w:before="0" w:line="240" w:lineRule="auto"/>
      </w:pPr>
      <w:r>
        <w:t>publish underlying data in the LPC Report</w:t>
      </w:r>
    </w:p>
    <w:p w:rsidR="00BB1C25" w:rsidRDefault="00BB1C25" w:rsidP="00BB1C25">
      <w:pPr>
        <w:spacing w:before="0" w:line="240" w:lineRule="auto"/>
        <w:ind w:left="720"/>
      </w:pPr>
    </w:p>
    <w:p w:rsidR="002016F9" w:rsidRDefault="002016F9" w:rsidP="002016F9">
      <w:pPr>
        <w:spacing w:before="0" w:line="240" w:lineRule="auto"/>
        <w:rPr>
          <w:b/>
          <w:sz w:val="32"/>
          <w:szCs w:val="32"/>
        </w:rPr>
      </w:pPr>
      <w:r>
        <w:rPr>
          <w:b/>
          <w:sz w:val="32"/>
          <w:szCs w:val="32"/>
        </w:rPr>
        <w:t>7 – Communication Activities</w:t>
      </w:r>
    </w:p>
    <w:p w:rsidR="002016F9" w:rsidRDefault="002016F9" w:rsidP="002016F9">
      <w:pPr>
        <w:spacing w:before="0" w:line="240" w:lineRule="auto"/>
        <w:rPr>
          <w:b/>
          <w:sz w:val="32"/>
          <w:szCs w:val="32"/>
        </w:rPr>
      </w:pPr>
    </w:p>
    <w:p w:rsidR="002016F9" w:rsidRDefault="002016F9" w:rsidP="002016F9">
      <w:pPr>
        <w:spacing w:before="0" w:line="240" w:lineRule="auto"/>
      </w:pPr>
      <w:r w:rsidRPr="00C06534">
        <w:t xml:space="preserve">The LPC will continue to develop and enhance communication activities </w:t>
      </w:r>
      <w:r>
        <w:t xml:space="preserve">to raise the profile of the Commission amongst its key stakeholders and the wider public. It will aim to engage and communicate through new channels and maximise audience reach. </w:t>
      </w:r>
      <w:r w:rsidR="00921C6F">
        <w:t>P</w:t>
      </w:r>
      <w:r>
        <w:t xml:space="preserve">articular communication activities </w:t>
      </w:r>
      <w:r w:rsidR="00921C6F">
        <w:t xml:space="preserve">it </w:t>
      </w:r>
      <w:r>
        <w:t>will undertake</w:t>
      </w:r>
      <w:r w:rsidR="00921C6F">
        <w:t xml:space="preserve"> are</w:t>
      </w:r>
      <w:r>
        <w:t xml:space="preserve">: </w:t>
      </w:r>
    </w:p>
    <w:p w:rsidR="002016F9" w:rsidRDefault="002016F9" w:rsidP="002016F9">
      <w:pPr>
        <w:spacing w:before="0" w:line="240" w:lineRule="auto"/>
      </w:pPr>
    </w:p>
    <w:p w:rsidR="002016F9" w:rsidRDefault="002016F9" w:rsidP="002016F9">
      <w:pPr>
        <w:numPr>
          <w:ilvl w:val="0"/>
          <w:numId w:val="1"/>
        </w:numPr>
        <w:spacing w:before="0" w:line="240" w:lineRule="auto"/>
      </w:pPr>
      <w:r>
        <w:t xml:space="preserve">Launch a new corporate blog and Twitter account </w:t>
      </w:r>
    </w:p>
    <w:p w:rsidR="002016F9" w:rsidRDefault="002016F9" w:rsidP="002016F9">
      <w:pPr>
        <w:numPr>
          <w:ilvl w:val="0"/>
          <w:numId w:val="1"/>
        </w:numPr>
        <w:spacing w:before="0" w:line="240" w:lineRule="auto"/>
      </w:pPr>
      <w:r>
        <w:t>Occasional statistical leaflets or papers</w:t>
      </w:r>
    </w:p>
    <w:p w:rsidR="002016F9" w:rsidRDefault="002016F9" w:rsidP="002016F9">
      <w:pPr>
        <w:numPr>
          <w:ilvl w:val="0"/>
          <w:numId w:val="1"/>
        </w:numPr>
        <w:spacing w:before="0" w:line="240" w:lineRule="auto"/>
      </w:pPr>
      <w:r>
        <w:t>Undertake selected events</w:t>
      </w:r>
    </w:p>
    <w:p w:rsidR="002016F9" w:rsidRDefault="002016F9" w:rsidP="002016F9">
      <w:pPr>
        <w:ind w:left="4320"/>
      </w:pPr>
    </w:p>
    <w:p w:rsidR="002016F9" w:rsidRDefault="002016F9" w:rsidP="002016F9">
      <w:pPr>
        <w:ind w:left="4320"/>
        <w:jc w:val="right"/>
        <w:rPr>
          <w:b/>
        </w:rPr>
      </w:pPr>
      <w:r>
        <w:br w:type="page"/>
      </w:r>
      <w:r>
        <w:lastRenderedPageBreak/>
        <w:tab/>
      </w:r>
      <w:r>
        <w:tab/>
      </w:r>
      <w:r>
        <w:tab/>
      </w:r>
      <w:r>
        <w:tab/>
      </w:r>
      <w:r>
        <w:tab/>
      </w:r>
      <w:r>
        <w:tab/>
      </w:r>
      <w:r>
        <w:tab/>
      </w:r>
      <w:r>
        <w:tab/>
      </w:r>
      <w:r>
        <w:tab/>
        <w:t xml:space="preserve">                               </w:t>
      </w:r>
      <w:r>
        <w:rPr>
          <w:b/>
        </w:rPr>
        <w:t>Annex A</w:t>
      </w:r>
    </w:p>
    <w:p w:rsidR="002016F9" w:rsidRDefault="002016F9" w:rsidP="0071697C">
      <w:pPr>
        <w:spacing w:before="0"/>
        <w:ind w:left="4320"/>
        <w:rPr>
          <w:b/>
        </w:rPr>
      </w:pPr>
      <w:r>
        <w:rPr>
          <w:b/>
        </w:rPr>
        <w:t>NATIONAL MINIMUM WAGE</w:t>
      </w:r>
      <w:r w:rsidR="0071697C">
        <w:rPr>
          <w:b/>
        </w:rPr>
        <w:t xml:space="preserve"> - </w:t>
      </w:r>
      <w:r>
        <w:rPr>
          <w:b/>
        </w:rPr>
        <w:t>LOW PAY COMMISSION REMIT 2016</w:t>
      </w:r>
    </w:p>
    <w:p w:rsidR="00297079" w:rsidRDefault="00297079" w:rsidP="00297079">
      <w:pPr>
        <w:spacing w:line="240" w:lineRule="auto"/>
      </w:pPr>
      <w:r>
        <w:rPr>
          <w:rFonts w:cs="Arial"/>
        </w:rPr>
        <w:t>Over the last 15 years the National Minimum Wage (NMW) has helped eliminate extreme low pay and preserve jobs in the face of recession.  We appreciate the role that the Low Pay Commission (LPC) has played in these successes.  Against the background of a continuing recovery, the Government would like the LPC to monitor, evaluate and review the levels of each of the different NMW rates (16-17, 18-20 age groups, adult and apprentice rates) and make recommendations on the increase it believes should apply from October 2016.  Our aim is to have NMW rates that help as many low-paid workers as possible without damaging their employment prospects.</w:t>
      </w:r>
      <w:r>
        <w:rPr>
          <w:rStyle w:val="apple-converted-space"/>
          <w:rFonts w:cs="Arial"/>
        </w:rPr>
        <w:t> </w:t>
      </w:r>
    </w:p>
    <w:p w:rsidR="00297079" w:rsidRDefault="00297079" w:rsidP="00297079">
      <w:pPr>
        <w:spacing w:line="240" w:lineRule="auto"/>
      </w:pPr>
      <w:r>
        <w:rPr>
          <w:rFonts w:cs="Arial"/>
        </w:rPr>
        <w:t xml:space="preserve">The Government is building on its strong economic performance that has seen 2 million more people in work in the last five years.  A remaining, key economic challenge the Government wants to address is to move away from a low wage, high tax, </w:t>
      </w:r>
      <w:proofErr w:type="gramStart"/>
      <w:r>
        <w:rPr>
          <w:rFonts w:cs="Arial"/>
        </w:rPr>
        <w:t>high</w:t>
      </w:r>
      <w:proofErr w:type="gramEnd"/>
      <w:r>
        <w:rPr>
          <w:rFonts w:cs="Arial"/>
        </w:rPr>
        <w:t xml:space="preserve"> welfare society and encourage a model of higher pay and higher productivity – supporting people who work hard and want to get on in life to fulfil their aspirations.</w:t>
      </w:r>
      <w:r>
        <w:rPr>
          <w:rStyle w:val="apple-converted-space"/>
          <w:rFonts w:cs="Arial"/>
        </w:rPr>
        <w:t> </w:t>
      </w:r>
    </w:p>
    <w:p w:rsidR="00297079" w:rsidRDefault="00297079" w:rsidP="00297079">
      <w:pPr>
        <w:spacing w:line="240" w:lineRule="auto"/>
      </w:pPr>
      <w:r>
        <w:rPr>
          <w:rFonts w:cs="Arial"/>
        </w:rPr>
        <w:t>As such, the Government wishes to see a higher wage for more experienced workers and so is introducing a premium for workers aged 25 and over.  This will be over and above the NMW which will remain in place.  The Government will set the first premium in April at 50p bringing the total National Living Wage to £7.20 in April 2016.  The Government asks the LPC to recommend the level of the National Living Wage to apply from April 2017.</w:t>
      </w:r>
      <w:r>
        <w:rPr>
          <w:rStyle w:val="apple-converted-space"/>
          <w:rFonts w:cs="Arial"/>
        </w:rPr>
        <w:t> </w:t>
      </w:r>
    </w:p>
    <w:p w:rsidR="00297079" w:rsidRDefault="00297079" w:rsidP="00297079">
      <w:pPr>
        <w:spacing w:line="240" w:lineRule="auto"/>
      </w:pPr>
      <w:r>
        <w:rPr>
          <w:rFonts w:cs="Arial"/>
        </w:rPr>
        <w:t>The Government estimates that the level of the combined NMW and the premium in April 2016 will be 55% of median earnings and has set out an ambition that this should continue to increase to reach 60% of median earnings by 2020, subject to sustained economic growth. The Government’s objective is to have a National Living Wage of over £9 by 2020.</w:t>
      </w:r>
      <w:r>
        <w:rPr>
          <w:rStyle w:val="apple-converted-space"/>
          <w:rFonts w:cs="Arial"/>
        </w:rPr>
        <w:t> </w:t>
      </w:r>
    </w:p>
    <w:p w:rsidR="00297079" w:rsidRDefault="00297079" w:rsidP="00297079">
      <w:pPr>
        <w:spacing w:line="240" w:lineRule="auto"/>
      </w:pPr>
      <w:r>
        <w:rPr>
          <w:rFonts w:cs="Arial"/>
        </w:rPr>
        <w:t>In making recommendations in relation to the premium the LPC is asked to consider the pace of the increase, taking into account the state of the economy, employment and unemployment levels, and relevant policy changes.</w:t>
      </w:r>
      <w:r>
        <w:rPr>
          <w:rStyle w:val="apple-converted-space"/>
          <w:rFonts w:cs="Arial"/>
        </w:rPr>
        <w:t> </w:t>
      </w:r>
    </w:p>
    <w:p w:rsidR="00297079" w:rsidRDefault="00297079" w:rsidP="00297079">
      <w:pPr>
        <w:spacing w:line="240" w:lineRule="auto"/>
      </w:pPr>
      <w:r>
        <w:rPr>
          <w:rFonts w:cs="Arial"/>
        </w:rPr>
        <w:t xml:space="preserve">Depending on the outcome of the review into bringing forward the NMW cycle, alongside the NMW recommendations in February 2016 the LPC are asked to provide indicative NMW rates for 2017, in order to give more certainty to business.  Alongside the premium recommendation in October 2016 the LPC are asked to provide an indicative premium rate for April 2018.  </w:t>
      </w:r>
      <w:proofErr w:type="gramStart"/>
      <w:r>
        <w:rPr>
          <w:rFonts w:cs="Arial"/>
        </w:rPr>
        <w:t>Both of these being subject to confirmation in light of economic conditions.</w:t>
      </w:r>
      <w:proofErr w:type="gramEnd"/>
      <w:r>
        <w:rPr>
          <w:rStyle w:val="apple-converted-space"/>
          <w:rFonts w:cs="Arial"/>
        </w:rPr>
        <w:t> </w:t>
      </w:r>
    </w:p>
    <w:p w:rsidR="002016F9" w:rsidRPr="0071697C" w:rsidRDefault="00297079" w:rsidP="0071697C">
      <w:pPr>
        <w:spacing w:line="240" w:lineRule="auto"/>
      </w:pPr>
      <w:r w:rsidRPr="0071697C">
        <w:rPr>
          <w:rFonts w:cs="Arial"/>
          <w:b/>
          <w:bCs/>
        </w:rPr>
        <w:t>Timing</w:t>
      </w:r>
      <w:r w:rsidR="0071697C" w:rsidRPr="0071697C">
        <w:rPr>
          <w:rFonts w:cs="Arial"/>
          <w:b/>
          <w:bCs/>
        </w:rPr>
        <w:t>:</w:t>
      </w:r>
      <w:r w:rsidR="0071697C">
        <w:rPr>
          <w:rFonts w:cs="Arial"/>
          <w:b/>
          <w:bCs/>
        </w:rPr>
        <w:t xml:space="preserve"> </w:t>
      </w:r>
      <w:r w:rsidRPr="0071697C">
        <w:rPr>
          <w:rFonts w:cs="Arial"/>
        </w:rPr>
        <w:t xml:space="preserve">The LPC is asked to provide a report to the Prime Minister and the Secretary of State for Business, Innovation and Skills on the NMW rates as early as possible in February </w:t>
      </w:r>
      <w:proofErr w:type="gramStart"/>
      <w:r w:rsidRPr="0071697C">
        <w:rPr>
          <w:rFonts w:cs="Arial"/>
        </w:rPr>
        <w:t>2016,</w:t>
      </w:r>
      <w:proofErr w:type="gramEnd"/>
      <w:r w:rsidRPr="0071697C">
        <w:rPr>
          <w:rFonts w:cs="Arial"/>
        </w:rPr>
        <w:t xml:space="preserve"> and on the premium by October 2016.</w:t>
      </w:r>
      <w:r w:rsidR="002016F9">
        <w:rPr>
          <w:b/>
          <w:sz w:val="28"/>
          <w:szCs w:val="28"/>
        </w:rPr>
        <w:br w:type="page"/>
      </w:r>
      <w:r w:rsidR="002016F9">
        <w:rPr>
          <w:b/>
          <w:sz w:val="28"/>
          <w:szCs w:val="28"/>
        </w:rPr>
        <w:lastRenderedPageBreak/>
        <w:tab/>
      </w:r>
      <w:r w:rsidR="002016F9">
        <w:tab/>
      </w:r>
      <w:r w:rsidR="002016F9">
        <w:tab/>
      </w:r>
      <w:r w:rsidR="002016F9">
        <w:tab/>
      </w:r>
      <w:r w:rsidR="002016F9">
        <w:tab/>
      </w:r>
      <w:r w:rsidR="002016F9">
        <w:tab/>
      </w:r>
      <w:r w:rsidR="002016F9">
        <w:tab/>
      </w:r>
      <w:r w:rsidR="002016F9">
        <w:tab/>
      </w:r>
      <w:r w:rsidR="002016F9">
        <w:tab/>
      </w:r>
      <w:r w:rsidR="002016F9">
        <w:tab/>
      </w:r>
      <w:r w:rsidR="002016F9">
        <w:tab/>
      </w:r>
      <w:r w:rsidR="002016F9">
        <w:tab/>
      </w:r>
      <w:r w:rsidR="002016F9">
        <w:tab/>
      </w:r>
      <w:r w:rsidR="002016F9">
        <w:tab/>
      </w:r>
      <w:r w:rsidR="002016F9">
        <w:rPr>
          <w:b/>
        </w:rPr>
        <w:tab/>
      </w:r>
      <w:r w:rsidR="002016F9">
        <w:rPr>
          <w:b/>
        </w:rPr>
        <w:tab/>
      </w:r>
      <w:r w:rsidR="002016F9">
        <w:rPr>
          <w:b/>
        </w:rPr>
        <w:tab/>
      </w:r>
      <w:r w:rsidR="002016F9">
        <w:rPr>
          <w:b/>
        </w:rPr>
        <w:tab/>
        <w:t xml:space="preserve">         </w:t>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71697C">
        <w:rPr>
          <w:b/>
        </w:rPr>
        <w:tab/>
      </w:r>
      <w:r w:rsidR="002016F9">
        <w:rPr>
          <w:b/>
        </w:rPr>
        <w:t>Annex B</w:t>
      </w:r>
    </w:p>
    <w:p w:rsidR="002016F9" w:rsidRDefault="002016F9" w:rsidP="002016F9">
      <w:pPr>
        <w:ind w:left="2160" w:firstLine="720"/>
      </w:pPr>
      <w:r>
        <w:rPr>
          <w:b/>
        </w:rPr>
        <w:t>Low Pay Commission Research Projects for the 2016 Report</w:t>
      </w:r>
    </w:p>
    <w:tbl>
      <w:tblPr>
        <w:tblStyle w:val="TableGrid"/>
        <w:tblW w:w="12600" w:type="dxa"/>
        <w:tblLook w:val="04A0" w:firstRow="1" w:lastRow="0" w:firstColumn="1" w:lastColumn="0" w:noHBand="0" w:noVBand="1"/>
      </w:tblPr>
      <w:tblGrid>
        <w:gridCol w:w="2340"/>
        <w:gridCol w:w="3780"/>
        <w:gridCol w:w="6480"/>
      </w:tblGrid>
      <w:tr w:rsidR="002016F9" w:rsidTr="00C876C4">
        <w:trPr>
          <w:trHeight w:val="600"/>
        </w:trPr>
        <w:tc>
          <w:tcPr>
            <w:tcW w:w="2340" w:type="dxa"/>
            <w:noWrap/>
            <w:hideMark/>
          </w:tcPr>
          <w:p w:rsidR="002016F9" w:rsidRDefault="002016F9" w:rsidP="00831AC3">
            <w:pPr>
              <w:spacing w:before="100" w:beforeAutospacing="1" w:after="100" w:afterAutospacing="1" w:line="240" w:lineRule="auto"/>
              <w:rPr>
                <w:b/>
                <w:bCs/>
              </w:rPr>
            </w:pPr>
            <w:r>
              <w:rPr>
                <w:b/>
                <w:bCs/>
              </w:rPr>
              <w:t>Lead Researcher</w:t>
            </w:r>
          </w:p>
        </w:tc>
        <w:tc>
          <w:tcPr>
            <w:tcW w:w="3780" w:type="dxa"/>
            <w:noWrap/>
            <w:hideMark/>
          </w:tcPr>
          <w:p w:rsidR="002016F9" w:rsidRDefault="002016F9" w:rsidP="00831AC3">
            <w:pPr>
              <w:spacing w:before="100" w:beforeAutospacing="1" w:after="100" w:afterAutospacing="1" w:line="240" w:lineRule="auto"/>
              <w:rPr>
                <w:b/>
                <w:bCs/>
              </w:rPr>
            </w:pPr>
            <w:r>
              <w:rPr>
                <w:b/>
                <w:bCs/>
              </w:rPr>
              <w:t>Institute</w:t>
            </w:r>
          </w:p>
        </w:tc>
        <w:tc>
          <w:tcPr>
            <w:tcW w:w="6480" w:type="dxa"/>
            <w:noWrap/>
            <w:hideMark/>
          </w:tcPr>
          <w:p w:rsidR="002016F9" w:rsidRDefault="002016F9" w:rsidP="00831AC3">
            <w:pPr>
              <w:spacing w:before="100" w:beforeAutospacing="1" w:after="100" w:afterAutospacing="1" w:line="240" w:lineRule="auto"/>
              <w:rPr>
                <w:b/>
                <w:bCs/>
              </w:rPr>
            </w:pPr>
            <w:r>
              <w:rPr>
                <w:b/>
                <w:bCs/>
              </w:rPr>
              <w:t>Research Project</w:t>
            </w:r>
          </w:p>
        </w:tc>
      </w:tr>
      <w:tr w:rsidR="002016F9" w:rsidTr="00C876C4">
        <w:trPr>
          <w:trHeight w:val="567"/>
        </w:trPr>
        <w:tc>
          <w:tcPr>
            <w:tcW w:w="2340" w:type="dxa"/>
            <w:noWrap/>
          </w:tcPr>
          <w:p w:rsidR="002016F9" w:rsidRPr="00431F47" w:rsidRDefault="002016F9" w:rsidP="00831AC3">
            <w:pPr>
              <w:spacing w:before="100" w:beforeAutospacing="1" w:after="100" w:afterAutospacing="1" w:line="240" w:lineRule="auto"/>
            </w:pPr>
            <w:r w:rsidRPr="00431F47">
              <w:rPr>
                <w:color w:val="000000"/>
              </w:rPr>
              <w:t xml:space="preserve">Gavan Conlon </w:t>
            </w:r>
          </w:p>
        </w:tc>
        <w:tc>
          <w:tcPr>
            <w:tcW w:w="3780" w:type="dxa"/>
          </w:tcPr>
          <w:p w:rsidR="002016F9" w:rsidRPr="00431F47" w:rsidRDefault="002016F9" w:rsidP="00831AC3">
            <w:pPr>
              <w:spacing w:before="100" w:beforeAutospacing="1" w:after="100" w:afterAutospacing="1" w:line="240" w:lineRule="auto"/>
            </w:pPr>
            <w:r w:rsidRPr="00431F47">
              <w:rPr>
                <w:color w:val="000000"/>
              </w:rPr>
              <w:t>London Economics</w:t>
            </w:r>
          </w:p>
        </w:tc>
        <w:tc>
          <w:tcPr>
            <w:tcW w:w="6480" w:type="dxa"/>
          </w:tcPr>
          <w:p w:rsidR="002016F9" w:rsidRPr="00431F47" w:rsidRDefault="002016F9" w:rsidP="00C876C4">
            <w:pPr>
              <w:spacing w:before="100" w:beforeAutospacing="1" w:after="100" w:afterAutospacing="1" w:line="240" w:lineRule="auto"/>
              <w:rPr>
                <w:color w:val="000000"/>
              </w:rPr>
            </w:pPr>
            <w:r w:rsidRPr="00431F47">
              <w:rPr>
                <w:color w:val="000000"/>
              </w:rPr>
              <w:t xml:space="preserve">The Impact of the Minimum Wage on Earnings, the Bite and Differentials </w:t>
            </w:r>
          </w:p>
        </w:tc>
      </w:tr>
      <w:tr w:rsidR="002016F9" w:rsidTr="00C876C4">
        <w:trPr>
          <w:trHeight w:val="567"/>
        </w:trPr>
        <w:tc>
          <w:tcPr>
            <w:tcW w:w="2340" w:type="dxa"/>
            <w:noWrap/>
          </w:tcPr>
          <w:p w:rsidR="002016F9" w:rsidRPr="00431F47" w:rsidRDefault="002016F9" w:rsidP="00831AC3">
            <w:pPr>
              <w:spacing w:before="100" w:beforeAutospacing="1" w:after="100" w:afterAutospacing="1" w:line="240" w:lineRule="auto"/>
            </w:pPr>
            <w:r w:rsidRPr="00431F47">
              <w:rPr>
                <w:color w:val="000000"/>
              </w:rPr>
              <w:t xml:space="preserve">Kerry </w:t>
            </w:r>
            <w:proofErr w:type="spellStart"/>
            <w:r w:rsidRPr="00431F47">
              <w:rPr>
                <w:color w:val="000000"/>
              </w:rPr>
              <w:t>Papps</w:t>
            </w:r>
            <w:proofErr w:type="spellEnd"/>
            <w:r w:rsidRPr="00431F47">
              <w:rPr>
                <w:color w:val="000000"/>
              </w:rPr>
              <w:t xml:space="preserve"> </w:t>
            </w:r>
          </w:p>
        </w:tc>
        <w:tc>
          <w:tcPr>
            <w:tcW w:w="3780" w:type="dxa"/>
          </w:tcPr>
          <w:p w:rsidR="002016F9" w:rsidRPr="00431F47" w:rsidRDefault="002016F9" w:rsidP="00831AC3">
            <w:pPr>
              <w:spacing w:before="100" w:beforeAutospacing="1" w:after="100" w:afterAutospacing="1" w:line="240" w:lineRule="auto"/>
            </w:pPr>
            <w:r w:rsidRPr="00431F47">
              <w:rPr>
                <w:color w:val="000000"/>
              </w:rPr>
              <w:t>Bath</w:t>
            </w:r>
          </w:p>
        </w:tc>
        <w:tc>
          <w:tcPr>
            <w:tcW w:w="6480" w:type="dxa"/>
          </w:tcPr>
          <w:p w:rsidR="002016F9" w:rsidRPr="00431F47" w:rsidRDefault="002016F9" w:rsidP="00C876C4">
            <w:pPr>
              <w:spacing w:before="100" w:beforeAutospacing="1" w:after="100" w:afterAutospacing="1" w:line="240" w:lineRule="auto"/>
              <w:rPr>
                <w:color w:val="000000"/>
              </w:rPr>
            </w:pPr>
            <w:r w:rsidRPr="00431F47">
              <w:rPr>
                <w:color w:val="000000"/>
              </w:rPr>
              <w:t>The Impact of the National Minimum Wage on Employment and Hours By Age</w:t>
            </w:r>
          </w:p>
        </w:tc>
      </w:tr>
      <w:tr w:rsidR="002016F9" w:rsidTr="00C876C4">
        <w:trPr>
          <w:trHeight w:val="567"/>
        </w:trPr>
        <w:tc>
          <w:tcPr>
            <w:tcW w:w="2340" w:type="dxa"/>
            <w:noWrap/>
          </w:tcPr>
          <w:p w:rsidR="002016F9" w:rsidRPr="00431F47" w:rsidRDefault="002016F9" w:rsidP="00831AC3">
            <w:pPr>
              <w:spacing w:before="100" w:beforeAutospacing="1" w:after="100" w:afterAutospacing="1" w:line="240" w:lineRule="auto"/>
            </w:pPr>
            <w:r w:rsidRPr="00431F47">
              <w:rPr>
                <w:color w:val="000000"/>
              </w:rPr>
              <w:t xml:space="preserve">Rebecca Riley </w:t>
            </w:r>
          </w:p>
        </w:tc>
        <w:tc>
          <w:tcPr>
            <w:tcW w:w="3780" w:type="dxa"/>
          </w:tcPr>
          <w:p w:rsidR="002016F9" w:rsidRPr="00431F47" w:rsidRDefault="002016F9" w:rsidP="00831AC3">
            <w:pPr>
              <w:spacing w:before="100" w:beforeAutospacing="1" w:after="100" w:afterAutospacing="1" w:line="240" w:lineRule="auto"/>
            </w:pPr>
            <w:r w:rsidRPr="00431F47">
              <w:rPr>
                <w:color w:val="000000"/>
              </w:rPr>
              <w:t>NIESR</w:t>
            </w:r>
          </w:p>
        </w:tc>
        <w:tc>
          <w:tcPr>
            <w:tcW w:w="6480" w:type="dxa"/>
          </w:tcPr>
          <w:p w:rsidR="002016F9" w:rsidRPr="00431F47" w:rsidRDefault="002016F9" w:rsidP="00C876C4">
            <w:pPr>
              <w:spacing w:before="100" w:beforeAutospacing="1" w:after="100" w:afterAutospacing="1" w:line="240" w:lineRule="auto"/>
              <w:rPr>
                <w:color w:val="000000"/>
              </w:rPr>
            </w:pPr>
            <w:r w:rsidRPr="00431F47">
              <w:rPr>
                <w:color w:val="000000"/>
              </w:rPr>
              <w:t xml:space="preserve">The Impact of the National Minimum Wage on Productivity </w:t>
            </w:r>
          </w:p>
        </w:tc>
      </w:tr>
      <w:tr w:rsidR="00C876C4" w:rsidTr="00C876C4">
        <w:trPr>
          <w:trHeight w:val="567"/>
        </w:trPr>
        <w:tc>
          <w:tcPr>
            <w:tcW w:w="2340" w:type="dxa"/>
            <w:noWrap/>
          </w:tcPr>
          <w:p w:rsidR="00C876C4" w:rsidRPr="00431F47" w:rsidRDefault="00C876C4" w:rsidP="00831AC3">
            <w:pPr>
              <w:spacing w:before="100" w:beforeAutospacing="1" w:after="100" w:afterAutospacing="1" w:line="240" w:lineRule="auto"/>
              <w:rPr>
                <w:color w:val="000000"/>
              </w:rPr>
            </w:pPr>
            <w:r>
              <w:rPr>
                <w:color w:val="000000"/>
              </w:rPr>
              <w:t>Felix Ritchie</w:t>
            </w:r>
          </w:p>
        </w:tc>
        <w:tc>
          <w:tcPr>
            <w:tcW w:w="3780" w:type="dxa"/>
          </w:tcPr>
          <w:p w:rsidR="00C876C4" w:rsidRPr="00431F47" w:rsidRDefault="00C876C4" w:rsidP="00831AC3">
            <w:pPr>
              <w:spacing w:before="100" w:beforeAutospacing="1" w:after="100" w:afterAutospacing="1" w:line="240" w:lineRule="auto"/>
              <w:rPr>
                <w:color w:val="000000"/>
              </w:rPr>
            </w:pPr>
            <w:r>
              <w:rPr>
                <w:color w:val="000000"/>
              </w:rPr>
              <w:t>UWE</w:t>
            </w:r>
          </w:p>
        </w:tc>
        <w:tc>
          <w:tcPr>
            <w:tcW w:w="6480" w:type="dxa"/>
          </w:tcPr>
          <w:p w:rsidR="00C876C4" w:rsidRPr="00431F47" w:rsidRDefault="00C876C4" w:rsidP="00C876C4">
            <w:pPr>
              <w:spacing w:before="100" w:beforeAutospacing="1" w:after="100" w:afterAutospacing="1" w:line="240" w:lineRule="auto"/>
              <w:rPr>
                <w:color w:val="000000"/>
              </w:rPr>
            </w:pPr>
            <w:r>
              <w:rPr>
                <w:color w:val="000000"/>
              </w:rPr>
              <w:t>Apprentice Minimum Wage Non-Compliance</w:t>
            </w:r>
          </w:p>
        </w:tc>
      </w:tr>
    </w:tbl>
    <w:p w:rsidR="002016F9" w:rsidRDefault="002016F9" w:rsidP="002016F9">
      <w:pPr>
        <w:ind w:left="2160" w:firstLine="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016F9" w:rsidRDefault="002016F9" w:rsidP="002016F9">
      <w:pPr>
        <w:ind w:left="2160" w:firstLine="720"/>
        <w:rPr>
          <w:b/>
          <w:sz w:val="28"/>
          <w:szCs w:val="28"/>
        </w:rPr>
      </w:pPr>
    </w:p>
    <w:p w:rsidR="002016F9" w:rsidRDefault="002016F9" w:rsidP="002016F9">
      <w:pPr>
        <w:ind w:left="2160" w:firstLine="720"/>
        <w:rPr>
          <w:b/>
          <w:sz w:val="28"/>
          <w:szCs w:val="28"/>
        </w:rPr>
      </w:pPr>
    </w:p>
    <w:p w:rsidR="002016F9" w:rsidRDefault="002016F9" w:rsidP="002016F9">
      <w:pPr>
        <w:ind w:left="2160" w:firstLine="720"/>
        <w:rPr>
          <w:b/>
          <w:sz w:val="28"/>
          <w:szCs w:val="28"/>
        </w:rPr>
      </w:pPr>
    </w:p>
    <w:p w:rsidR="002016F9" w:rsidRDefault="002016F9" w:rsidP="002016F9">
      <w:pPr>
        <w:ind w:left="2160" w:firstLine="720"/>
        <w:rPr>
          <w:b/>
          <w:sz w:val="28"/>
          <w:szCs w:val="28"/>
        </w:rPr>
      </w:pPr>
    </w:p>
    <w:p w:rsidR="002016F9" w:rsidRDefault="002016F9" w:rsidP="002016F9">
      <w:pPr>
        <w:ind w:left="12960"/>
        <w:rPr>
          <w:b/>
        </w:rPr>
      </w:pPr>
    </w:p>
    <w:p w:rsidR="002016F9" w:rsidRDefault="002016F9" w:rsidP="002016F9">
      <w:pPr>
        <w:ind w:left="12960"/>
        <w:rPr>
          <w:b/>
        </w:rPr>
      </w:pPr>
    </w:p>
    <w:p w:rsidR="002016F9" w:rsidRDefault="002016F9" w:rsidP="002016F9">
      <w:pPr>
        <w:ind w:left="12960"/>
        <w:jc w:val="right"/>
        <w:rPr>
          <w:b/>
        </w:rPr>
      </w:pPr>
      <w:r>
        <w:rPr>
          <w:b/>
        </w:rPr>
        <w:t>Annex C</w:t>
      </w:r>
    </w:p>
    <w:p w:rsidR="002016F9" w:rsidRDefault="002016F9" w:rsidP="002016F9">
      <w:pPr>
        <w:ind w:left="2160" w:firstLine="720"/>
        <w:rPr>
          <w:b/>
        </w:rPr>
      </w:pPr>
      <w:r>
        <w:rPr>
          <w:b/>
          <w:sz w:val="28"/>
          <w:szCs w:val="28"/>
        </w:rPr>
        <w:lastRenderedPageBreak/>
        <w:t xml:space="preserve">                  Low Pay Commission Expenditure – 2015/16</w:t>
      </w:r>
    </w:p>
    <w:p w:rsidR="002016F9" w:rsidRDefault="002016F9" w:rsidP="002016F9">
      <w:pPr>
        <w:ind w:left="2160" w:firstLine="720"/>
        <w:jc w:val="center"/>
      </w:pPr>
    </w:p>
    <w:p w:rsidR="002016F9" w:rsidRDefault="002016F9" w:rsidP="002016F9">
      <w:pPr>
        <w:spacing w:before="0" w:line="240" w:lineRule="auto"/>
        <w:ind w:left="2160" w:firstLine="720"/>
        <w:jc w:val="center"/>
      </w:pPr>
    </w:p>
    <w:tbl>
      <w:tblPr>
        <w:tblpPr w:leftFromText="180" w:rightFromText="180" w:vertAnchor="text" w:tblpXSpec="center" w:tblpY="1"/>
        <w:tblOverlap w:val="never"/>
        <w:tblW w:w="5328" w:type="dxa"/>
        <w:tblLook w:val="04A0" w:firstRow="1" w:lastRow="0" w:firstColumn="1" w:lastColumn="0" w:noHBand="0" w:noVBand="1"/>
      </w:tblPr>
      <w:tblGrid>
        <w:gridCol w:w="3168"/>
        <w:gridCol w:w="2160"/>
      </w:tblGrid>
      <w:tr w:rsidR="002016F9" w:rsidTr="00831AC3">
        <w:trPr>
          <w:trHeight w:val="530"/>
        </w:trPr>
        <w:tc>
          <w:tcPr>
            <w:tcW w:w="3168" w:type="dxa"/>
            <w:tcBorders>
              <w:top w:val="single" w:sz="4" w:space="0" w:color="auto"/>
              <w:left w:val="single" w:sz="4" w:space="0" w:color="auto"/>
              <w:bottom w:val="single" w:sz="4" w:space="0" w:color="auto"/>
              <w:right w:val="single" w:sz="4" w:space="0" w:color="auto"/>
            </w:tcBorders>
            <w:shd w:val="clear" w:color="auto" w:fill="C0C0C0"/>
            <w:hideMark/>
          </w:tcPr>
          <w:p w:rsidR="002016F9" w:rsidRDefault="002016F9" w:rsidP="00831AC3">
            <w:pPr>
              <w:spacing w:before="0" w:line="240" w:lineRule="auto"/>
              <w:jc w:val="center"/>
              <w:rPr>
                <w:rFonts w:cs="Arial (W1)"/>
                <w:b/>
                <w:bCs/>
              </w:rPr>
            </w:pPr>
            <w:r>
              <w:rPr>
                <w:rFonts w:cs="Arial (W1)"/>
                <w:b/>
                <w:bCs/>
              </w:rPr>
              <w:t>Spend Type</w:t>
            </w:r>
          </w:p>
        </w:tc>
        <w:tc>
          <w:tcPr>
            <w:tcW w:w="2160" w:type="dxa"/>
            <w:tcBorders>
              <w:top w:val="single" w:sz="4" w:space="0" w:color="auto"/>
              <w:left w:val="nil"/>
              <w:bottom w:val="single" w:sz="4" w:space="0" w:color="auto"/>
              <w:right w:val="single" w:sz="4" w:space="0" w:color="auto"/>
            </w:tcBorders>
            <w:shd w:val="clear" w:color="auto" w:fill="C0C0C0"/>
            <w:hideMark/>
          </w:tcPr>
          <w:p w:rsidR="002016F9" w:rsidRDefault="002016F9" w:rsidP="00831AC3">
            <w:pPr>
              <w:spacing w:before="0" w:line="240" w:lineRule="auto"/>
              <w:jc w:val="center"/>
              <w:rPr>
                <w:rFonts w:cs="Arial (W1)"/>
                <w:b/>
                <w:bCs/>
              </w:rPr>
            </w:pPr>
            <w:r>
              <w:rPr>
                <w:rFonts w:cs="Arial (W1)"/>
                <w:b/>
                <w:bCs/>
              </w:rPr>
              <w:t>Budget (£)</w:t>
            </w:r>
          </w:p>
        </w:tc>
      </w:tr>
      <w:tr w:rsidR="002016F9" w:rsidTr="00831AC3">
        <w:trPr>
          <w:trHeight w:val="315"/>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Total Wage Costs</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510,100</w:t>
            </w:r>
          </w:p>
        </w:tc>
      </w:tr>
      <w:tr w:rsidR="002016F9" w:rsidTr="00831AC3">
        <w:trPr>
          <w:trHeight w:val="315"/>
        </w:trPr>
        <w:tc>
          <w:tcPr>
            <w:tcW w:w="3168" w:type="dxa"/>
            <w:tcBorders>
              <w:top w:val="single" w:sz="4" w:space="0" w:color="auto"/>
              <w:left w:val="single" w:sz="4" w:space="0" w:color="auto"/>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b/>
                <w:bCs/>
              </w:rPr>
            </w:pPr>
          </w:p>
        </w:tc>
      </w:tr>
      <w:tr w:rsidR="002016F9" w:rsidTr="00831AC3">
        <w:trPr>
          <w:trHeight w:val="315"/>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Research</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244,350</w:t>
            </w:r>
          </w:p>
        </w:tc>
      </w:tr>
      <w:tr w:rsidR="002016F9" w:rsidTr="00831AC3">
        <w:trPr>
          <w:trHeight w:val="315"/>
        </w:trPr>
        <w:tc>
          <w:tcPr>
            <w:tcW w:w="3168" w:type="dxa"/>
            <w:tcBorders>
              <w:top w:val="single" w:sz="4" w:space="0" w:color="auto"/>
              <w:left w:val="single" w:sz="4" w:space="0" w:color="auto"/>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b/>
                <w:bCs/>
              </w:rPr>
            </w:pPr>
          </w:p>
        </w:tc>
      </w:tr>
      <w:tr w:rsidR="002016F9" w:rsidTr="00831AC3">
        <w:trPr>
          <w:trHeight w:val="630"/>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Travel and  Subsistence (</w:t>
            </w:r>
            <w:proofErr w:type="spellStart"/>
            <w:r>
              <w:rPr>
                <w:rFonts w:cs="Arial (W1)"/>
                <w:b/>
                <w:bCs/>
              </w:rPr>
              <w:t>inc</w:t>
            </w:r>
            <w:proofErr w:type="spellEnd"/>
            <w:r>
              <w:rPr>
                <w:rFonts w:cs="Arial (W1)"/>
                <w:b/>
                <w:bCs/>
              </w:rPr>
              <w:t xml:space="preserve"> Commissioners’ fees)</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40,000</w:t>
            </w:r>
          </w:p>
        </w:tc>
      </w:tr>
      <w:tr w:rsidR="002016F9" w:rsidTr="00831AC3">
        <w:trPr>
          <w:trHeight w:val="315"/>
        </w:trPr>
        <w:tc>
          <w:tcPr>
            <w:tcW w:w="3168" w:type="dxa"/>
            <w:tcBorders>
              <w:top w:val="single" w:sz="4" w:space="0" w:color="auto"/>
              <w:left w:val="single" w:sz="4" w:space="0" w:color="auto"/>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b/>
                <w:bCs/>
              </w:rPr>
            </w:pPr>
          </w:p>
        </w:tc>
      </w:tr>
      <w:tr w:rsidR="002016F9" w:rsidTr="00831AC3">
        <w:trPr>
          <w:trHeight w:val="315"/>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Report Production</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14,500</w:t>
            </w:r>
          </w:p>
        </w:tc>
      </w:tr>
      <w:tr w:rsidR="002016F9" w:rsidTr="00831AC3">
        <w:trPr>
          <w:trHeight w:val="315"/>
        </w:trPr>
        <w:tc>
          <w:tcPr>
            <w:tcW w:w="3168" w:type="dxa"/>
            <w:tcBorders>
              <w:top w:val="single" w:sz="4" w:space="0" w:color="auto"/>
              <w:left w:val="single" w:sz="4" w:space="0" w:color="auto"/>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b/>
                <w:bCs/>
              </w:rPr>
            </w:pPr>
          </w:p>
        </w:tc>
      </w:tr>
      <w:tr w:rsidR="002016F9" w:rsidTr="00831AC3">
        <w:trPr>
          <w:trHeight w:val="315"/>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b/>
                <w:bCs/>
              </w:rPr>
            </w:pPr>
            <w:r>
              <w:rPr>
                <w:b/>
                <w:bCs/>
              </w:rPr>
              <w:t>Three day Commission session to agree rate and other recommendations</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6,500</w:t>
            </w:r>
          </w:p>
        </w:tc>
      </w:tr>
      <w:tr w:rsidR="002016F9" w:rsidTr="00831AC3">
        <w:trPr>
          <w:trHeight w:val="315"/>
        </w:trPr>
        <w:tc>
          <w:tcPr>
            <w:tcW w:w="3168" w:type="dxa"/>
            <w:tcBorders>
              <w:top w:val="single" w:sz="4" w:space="0" w:color="auto"/>
              <w:left w:val="single" w:sz="4" w:space="0" w:color="auto"/>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4"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r>
      <w:tr w:rsidR="002016F9" w:rsidTr="00831AC3">
        <w:trPr>
          <w:trHeight w:val="630"/>
        </w:trPr>
        <w:tc>
          <w:tcPr>
            <w:tcW w:w="3168" w:type="dxa"/>
            <w:tcBorders>
              <w:top w:val="nil"/>
              <w:left w:val="single" w:sz="4" w:space="0" w:color="auto"/>
              <w:bottom w:val="single" w:sz="4"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 xml:space="preserve">Other (training, publications, stationery, </w:t>
            </w:r>
            <w:proofErr w:type="spellStart"/>
            <w:r>
              <w:rPr>
                <w:rFonts w:cs="Arial (W1)"/>
                <w:b/>
                <w:bCs/>
              </w:rPr>
              <w:t>etc</w:t>
            </w:r>
            <w:proofErr w:type="spellEnd"/>
            <w:r>
              <w:rPr>
                <w:rFonts w:cs="Arial (W1)"/>
                <w:b/>
                <w:bCs/>
              </w:rPr>
              <w:t>)</w:t>
            </w:r>
          </w:p>
        </w:tc>
        <w:tc>
          <w:tcPr>
            <w:tcW w:w="2160" w:type="dxa"/>
            <w:tcBorders>
              <w:top w:val="nil"/>
              <w:left w:val="nil"/>
              <w:bottom w:val="single" w:sz="4"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11,550</w:t>
            </w:r>
          </w:p>
        </w:tc>
      </w:tr>
      <w:tr w:rsidR="002016F9" w:rsidTr="00831AC3">
        <w:trPr>
          <w:trHeight w:val="330"/>
        </w:trPr>
        <w:tc>
          <w:tcPr>
            <w:tcW w:w="3168" w:type="dxa"/>
            <w:tcBorders>
              <w:top w:val="single" w:sz="4" w:space="0" w:color="auto"/>
              <w:left w:val="single" w:sz="4" w:space="0" w:color="auto"/>
              <w:bottom w:val="single" w:sz="8" w:space="0" w:color="auto"/>
              <w:right w:val="single" w:sz="4" w:space="0" w:color="auto"/>
            </w:tcBorders>
            <w:shd w:val="clear" w:color="auto" w:fill="D9D9D9"/>
            <w:vAlign w:val="center"/>
          </w:tcPr>
          <w:p w:rsidR="002016F9" w:rsidRDefault="002016F9" w:rsidP="00831AC3">
            <w:pPr>
              <w:spacing w:before="0" w:line="240" w:lineRule="auto"/>
              <w:jc w:val="center"/>
              <w:rPr>
                <w:rFonts w:cs="Arial (W1)"/>
                <w:b/>
                <w:bCs/>
              </w:rPr>
            </w:pPr>
          </w:p>
        </w:tc>
        <w:tc>
          <w:tcPr>
            <w:tcW w:w="2160" w:type="dxa"/>
            <w:tcBorders>
              <w:top w:val="single" w:sz="4" w:space="0" w:color="auto"/>
              <w:left w:val="nil"/>
              <w:bottom w:val="single" w:sz="8" w:space="0" w:color="auto"/>
              <w:right w:val="single" w:sz="4" w:space="0" w:color="auto"/>
            </w:tcBorders>
            <w:shd w:val="clear" w:color="auto" w:fill="D9D9D9"/>
            <w:vAlign w:val="center"/>
          </w:tcPr>
          <w:p w:rsidR="002016F9" w:rsidRDefault="002016F9" w:rsidP="00831AC3">
            <w:pPr>
              <w:spacing w:before="0" w:line="240" w:lineRule="auto"/>
              <w:jc w:val="center"/>
            </w:pPr>
          </w:p>
        </w:tc>
      </w:tr>
      <w:tr w:rsidR="002016F9" w:rsidTr="00831AC3">
        <w:trPr>
          <w:trHeight w:val="330"/>
        </w:trPr>
        <w:tc>
          <w:tcPr>
            <w:tcW w:w="3168" w:type="dxa"/>
            <w:tcBorders>
              <w:top w:val="single" w:sz="8" w:space="0" w:color="auto"/>
              <w:left w:val="single" w:sz="8" w:space="0" w:color="auto"/>
              <w:bottom w:val="single" w:sz="8" w:space="0" w:color="auto"/>
              <w:right w:val="single" w:sz="4" w:space="0" w:color="auto"/>
            </w:tcBorders>
            <w:vAlign w:val="center"/>
            <w:hideMark/>
          </w:tcPr>
          <w:p w:rsidR="002016F9" w:rsidRDefault="002016F9" w:rsidP="00831AC3">
            <w:pPr>
              <w:spacing w:before="0" w:line="240" w:lineRule="auto"/>
              <w:jc w:val="center"/>
              <w:rPr>
                <w:rFonts w:cs="Arial (W1)"/>
                <w:b/>
                <w:bCs/>
              </w:rPr>
            </w:pPr>
            <w:r>
              <w:rPr>
                <w:rFonts w:cs="Arial (W1)"/>
                <w:b/>
                <w:bCs/>
              </w:rPr>
              <w:t>Total</w:t>
            </w:r>
          </w:p>
        </w:tc>
        <w:tc>
          <w:tcPr>
            <w:tcW w:w="2160" w:type="dxa"/>
            <w:tcBorders>
              <w:top w:val="single" w:sz="8" w:space="0" w:color="auto"/>
              <w:left w:val="nil"/>
              <w:bottom w:val="single" w:sz="8" w:space="0" w:color="auto"/>
              <w:right w:val="single" w:sz="4" w:space="0" w:color="auto"/>
            </w:tcBorders>
            <w:vAlign w:val="center"/>
          </w:tcPr>
          <w:p w:rsidR="002016F9" w:rsidRDefault="002016F9" w:rsidP="00831AC3">
            <w:pPr>
              <w:spacing w:before="0" w:line="240" w:lineRule="auto"/>
              <w:jc w:val="center"/>
              <w:rPr>
                <w:rFonts w:cs="Arial (W1)"/>
                <w:b/>
                <w:bCs/>
              </w:rPr>
            </w:pPr>
            <w:r>
              <w:rPr>
                <w:rFonts w:cs="Arial (W1)"/>
                <w:b/>
                <w:bCs/>
              </w:rPr>
              <w:t>827,000</w:t>
            </w:r>
          </w:p>
        </w:tc>
      </w:tr>
    </w:tbl>
    <w:p w:rsidR="002016F9" w:rsidRDefault="002016F9" w:rsidP="002016F9">
      <w:pPr>
        <w:spacing w:before="0" w:line="240" w:lineRule="auto"/>
        <w:ind w:left="2160" w:firstLine="720"/>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spacing w:before="0" w:line="240" w:lineRule="auto"/>
        <w:ind w:left="2160" w:firstLine="720"/>
        <w:jc w:val="center"/>
        <w:rPr>
          <w:b/>
          <w:sz w:val="28"/>
          <w:szCs w:val="28"/>
        </w:rPr>
      </w:pPr>
    </w:p>
    <w:p w:rsidR="002016F9" w:rsidRDefault="002016F9" w:rsidP="002016F9">
      <w:pPr>
        <w:ind w:left="2160" w:firstLine="720"/>
        <w:jc w:val="center"/>
        <w:rPr>
          <w:b/>
          <w:sz w:val="28"/>
          <w:szCs w:val="28"/>
        </w:rPr>
      </w:pPr>
    </w:p>
    <w:p w:rsidR="002016F9" w:rsidRDefault="002016F9" w:rsidP="002016F9">
      <w:pPr>
        <w:ind w:left="2160" w:firstLine="720"/>
        <w:jc w:val="center"/>
        <w:rPr>
          <w:b/>
          <w:sz w:val="28"/>
          <w:szCs w:val="28"/>
        </w:rPr>
      </w:pPr>
    </w:p>
    <w:p w:rsidR="002016F9" w:rsidRDefault="002016F9" w:rsidP="002016F9">
      <w:pPr>
        <w:ind w:left="2160" w:firstLine="720"/>
        <w:jc w:val="center"/>
        <w:rPr>
          <w:b/>
          <w:sz w:val="28"/>
          <w:szCs w:val="28"/>
        </w:rPr>
      </w:pPr>
    </w:p>
    <w:p w:rsidR="002016F9" w:rsidRDefault="002016F9" w:rsidP="002016F9">
      <w:pPr>
        <w:spacing w:before="0" w:line="240" w:lineRule="auto"/>
        <w:ind w:left="2160" w:firstLine="720"/>
        <w:jc w:val="center"/>
      </w:pPr>
    </w:p>
    <w:p w:rsidR="002016F9" w:rsidRDefault="002016F9" w:rsidP="002016F9">
      <w:pPr>
        <w:spacing w:before="0" w:line="240" w:lineRule="auto"/>
        <w:ind w:left="2160" w:firstLine="720"/>
      </w:pPr>
    </w:p>
    <w:p w:rsidR="002016F9" w:rsidRDefault="002016F9" w:rsidP="002016F9">
      <w:pPr>
        <w:ind w:left="7920"/>
        <w:jc w:val="right"/>
        <w:rPr>
          <w:rFonts w:cs="Arial"/>
          <w:b/>
          <w:sz w:val="18"/>
          <w:szCs w:val="18"/>
        </w:rPr>
      </w:pPr>
    </w:p>
    <w:p w:rsidR="002016F9" w:rsidRDefault="002016F9" w:rsidP="002016F9">
      <w:pPr>
        <w:ind w:left="7920"/>
        <w:jc w:val="right"/>
        <w:rPr>
          <w:rFonts w:cs="Arial"/>
          <w:b/>
        </w:rPr>
      </w:pPr>
      <w:r>
        <w:rPr>
          <w:rFonts w:cs="Arial"/>
          <w:b/>
        </w:rPr>
        <w:t>Annex D</w:t>
      </w:r>
    </w:p>
    <w:p w:rsidR="002016F9" w:rsidRDefault="002016F9" w:rsidP="002016F9">
      <w:pPr>
        <w:spacing w:line="480" w:lineRule="auto"/>
        <w:ind w:left="1440"/>
        <w:jc w:val="center"/>
        <w:rPr>
          <w:rFonts w:cs="Arial"/>
          <w:b/>
        </w:rPr>
      </w:pPr>
      <w:r>
        <w:rPr>
          <w:rFonts w:cs="Arial"/>
          <w:b/>
        </w:rPr>
        <w:lastRenderedPageBreak/>
        <w:t>LOW PAY COMMISSION SECRETARIAT ORGANOGRAM</w:t>
      </w:r>
    </w:p>
    <w:p w:rsidR="002016F9" w:rsidRDefault="002016F9" w:rsidP="002016F9">
      <w:pPr>
        <w:pStyle w:val="Heading1"/>
        <w:spacing w:before="0" w:line="240" w:lineRule="auto"/>
        <w:ind w:left="3600"/>
        <w:rPr>
          <w:bCs w:val="0"/>
          <w:color w:val="FF0000"/>
          <w:sz w:val="18"/>
          <w:szCs w:val="18"/>
        </w:rPr>
      </w:pPr>
      <w:r>
        <w:rPr>
          <w:bCs w:val="0"/>
          <w:color w:val="FF0000"/>
          <w:sz w:val="18"/>
          <w:szCs w:val="18"/>
        </w:rPr>
        <w:t xml:space="preserve">                                                       Simon Blake</w:t>
      </w:r>
    </w:p>
    <w:p w:rsidR="002016F9" w:rsidRDefault="002016F9" w:rsidP="002016F9">
      <w:pPr>
        <w:spacing w:before="0" w:line="240" w:lineRule="auto"/>
        <w:jc w:val="center"/>
        <w:rPr>
          <w:rFonts w:cs="Arial"/>
          <w:bCs/>
          <w:color w:val="000099"/>
          <w:sz w:val="18"/>
          <w:szCs w:val="18"/>
        </w:rPr>
      </w:pPr>
      <w:r>
        <w:rPr>
          <w:rFonts w:cs="Arial"/>
          <w:color w:val="000099"/>
          <w:sz w:val="18"/>
          <w:szCs w:val="18"/>
        </w:rPr>
        <w:t>(Secretary to the Low Pay Commission)</w:t>
      </w:r>
    </w:p>
    <w:p w:rsidR="002016F9" w:rsidRDefault="002016F9" w:rsidP="002016F9">
      <w:pPr>
        <w:spacing w:before="0" w:line="276" w:lineRule="auto"/>
        <w:jc w:val="center"/>
        <w:rPr>
          <w:rFonts w:cs="Arial"/>
          <w:color w:val="000099"/>
          <w:sz w:val="18"/>
          <w:szCs w:val="18"/>
        </w:rPr>
      </w:pPr>
      <w:r>
        <w:rPr>
          <w:rFonts w:cs="Arial"/>
          <w:bCs/>
          <w:color w:val="000099"/>
          <w:sz w:val="18"/>
          <w:szCs w:val="18"/>
        </w:rPr>
        <w:t>020 7211 8225</w:t>
      </w:r>
    </w:p>
    <w:p w:rsidR="002016F9" w:rsidRDefault="002016F9" w:rsidP="002016F9">
      <w:pPr>
        <w:spacing w:before="0" w:line="276" w:lineRule="auto"/>
        <w:rPr>
          <w:rFonts w:cs="Arial"/>
          <w:b/>
          <w:color w:val="000099"/>
          <w:sz w:val="18"/>
          <w:szCs w:val="18"/>
        </w:rPr>
      </w:pPr>
      <w:r>
        <w:rPr>
          <w:rFonts w:cs="Arial"/>
          <w:b/>
          <w:color w:val="000099"/>
          <w:sz w:val="18"/>
          <w:szCs w:val="18"/>
        </w:rPr>
        <w:tab/>
      </w:r>
      <w:r>
        <w:rPr>
          <w:rFonts w:cs="Arial"/>
          <w:b/>
          <w:color w:val="000099"/>
          <w:sz w:val="18"/>
          <w:szCs w:val="18"/>
        </w:rPr>
        <w:tab/>
      </w:r>
      <w:r>
        <w:rPr>
          <w:rFonts w:cs="Arial"/>
          <w:b/>
          <w:color w:val="000099"/>
          <w:sz w:val="18"/>
          <w:szCs w:val="18"/>
        </w:rPr>
        <w:tab/>
      </w:r>
      <w:r>
        <w:rPr>
          <w:rFonts w:cs="Arial"/>
          <w:b/>
          <w:color w:val="000099"/>
          <w:sz w:val="18"/>
          <w:szCs w:val="18"/>
        </w:rPr>
        <w:tab/>
      </w:r>
      <w:r>
        <w:rPr>
          <w:rFonts w:cs="Arial"/>
          <w:b/>
          <w:color w:val="000099"/>
          <w:sz w:val="18"/>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678"/>
        <w:gridCol w:w="4678"/>
      </w:tblGrid>
      <w:tr w:rsidR="002016F9" w:rsidTr="00831AC3">
        <w:trPr>
          <w:trHeight w:val="5694"/>
        </w:trPr>
        <w:tc>
          <w:tcPr>
            <w:tcW w:w="4219" w:type="dxa"/>
            <w:tcBorders>
              <w:top w:val="single" w:sz="4" w:space="0" w:color="auto"/>
              <w:left w:val="single" w:sz="4" w:space="0" w:color="auto"/>
              <w:bottom w:val="single" w:sz="4" w:space="0" w:color="auto"/>
              <w:right w:val="single" w:sz="4" w:space="0" w:color="auto"/>
            </w:tcBorders>
          </w:tcPr>
          <w:p w:rsidR="002016F9" w:rsidRDefault="002016F9" w:rsidP="00831AC3">
            <w:pPr>
              <w:pStyle w:val="BodyText"/>
              <w:spacing w:after="240" w:line="276" w:lineRule="auto"/>
              <w:jc w:val="center"/>
              <w:rPr>
                <w:rFonts w:ascii="Arial" w:hAnsi="Arial"/>
                <w:b/>
                <w:bCs w:val="0"/>
                <w:color w:val="000099"/>
                <w:sz w:val="18"/>
                <w:szCs w:val="18"/>
                <w:u w:val="single"/>
              </w:rPr>
            </w:pPr>
            <w:r>
              <w:rPr>
                <w:rFonts w:ascii="Arial" w:hAnsi="Arial"/>
                <w:b/>
                <w:bCs w:val="0"/>
                <w:color w:val="000099"/>
                <w:sz w:val="18"/>
                <w:szCs w:val="18"/>
                <w:u w:val="single"/>
              </w:rPr>
              <w:t>ANALYSIS</w:t>
            </w:r>
          </w:p>
          <w:p w:rsidR="002016F9" w:rsidRDefault="002016F9" w:rsidP="00831AC3">
            <w:pPr>
              <w:pStyle w:val="BodyText"/>
              <w:spacing w:line="276" w:lineRule="auto"/>
              <w:jc w:val="center"/>
              <w:rPr>
                <w:rFonts w:ascii="Arial" w:hAnsi="Arial"/>
                <w:b/>
                <w:bCs w:val="0"/>
                <w:color w:val="FF0000"/>
                <w:sz w:val="18"/>
                <w:szCs w:val="18"/>
              </w:rPr>
            </w:pPr>
            <w:r>
              <w:rPr>
                <w:rFonts w:ascii="Arial" w:hAnsi="Arial"/>
                <w:b/>
                <w:bCs w:val="0"/>
                <w:color w:val="FF0000"/>
                <w:sz w:val="18"/>
                <w:szCs w:val="18"/>
              </w:rPr>
              <w:t>Tim Butcher</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(Chief Economist)</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020 7211 8198</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 xml:space="preserve">Lead on Research, Pay and Prices, and </w:t>
            </w:r>
            <w:proofErr w:type="spellStart"/>
            <w:r>
              <w:rPr>
                <w:rFonts w:ascii="Arial" w:hAnsi="Arial"/>
                <w:bCs w:val="0"/>
                <w:color w:val="000099"/>
                <w:sz w:val="18"/>
                <w:szCs w:val="18"/>
              </w:rPr>
              <w:t>Macroeconomy</w:t>
            </w:r>
            <w:proofErr w:type="spellEnd"/>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
                <w:color w:val="FF0000"/>
                <w:sz w:val="18"/>
                <w:szCs w:val="18"/>
              </w:rPr>
            </w:pPr>
            <w:r>
              <w:rPr>
                <w:rFonts w:ascii="Arial" w:hAnsi="Arial"/>
                <w:b/>
                <w:bCs w:val="0"/>
                <w:color w:val="FF0000"/>
                <w:sz w:val="18"/>
                <w:szCs w:val="18"/>
              </w:rPr>
              <w:t>Helen Connolly</w:t>
            </w:r>
          </w:p>
          <w:p w:rsidR="002016F9" w:rsidRDefault="002016F9" w:rsidP="00831AC3">
            <w:pPr>
              <w:pStyle w:val="BodyText"/>
              <w:spacing w:line="276" w:lineRule="auto"/>
              <w:jc w:val="center"/>
              <w:rPr>
                <w:rFonts w:ascii="Arial" w:hAnsi="Arial"/>
                <w:color w:val="000099"/>
                <w:sz w:val="18"/>
                <w:szCs w:val="18"/>
              </w:rPr>
            </w:pPr>
            <w:r>
              <w:rPr>
                <w:rFonts w:ascii="Arial" w:hAnsi="Arial"/>
                <w:bCs w:val="0"/>
                <w:color w:val="000099"/>
                <w:sz w:val="18"/>
                <w:szCs w:val="18"/>
              </w:rPr>
              <w:t>(Statistician)</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020 7211 8204</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Cs w:val="0"/>
                <w:color w:val="000099"/>
                <w:sz w:val="18"/>
                <w:szCs w:val="18"/>
              </w:rPr>
            </w:pPr>
            <w:r>
              <w:rPr>
                <w:rFonts w:ascii="Arial" w:hAnsi="Arial"/>
                <w:color w:val="000099"/>
                <w:sz w:val="18"/>
                <w:szCs w:val="18"/>
              </w:rPr>
              <w:t>Lead on Young People and Apprentices, and ASHE</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
                <w:bCs w:val="0"/>
                <w:color w:val="FF0000"/>
                <w:sz w:val="18"/>
                <w:szCs w:val="18"/>
              </w:rPr>
            </w:pPr>
            <w:r>
              <w:rPr>
                <w:rFonts w:ascii="Arial" w:hAnsi="Arial"/>
                <w:b/>
                <w:bCs w:val="0"/>
                <w:color w:val="FF0000"/>
                <w:sz w:val="18"/>
                <w:szCs w:val="18"/>
              </w:rPr>
              <w:t>Yi Zhang</w:t>
            </w:r>
          </w:p>
          <w:p w:rsidR="002016F9" w:rsidRDefault="002016F9" w:rsidP="00831AC3">
            <w:pPr>
              <w:spacing w:before="0" w:line="240" w:lineRule="auto"/>
              <w:jc w:val="center"/>
              <w:rPr>
                <w:rFonts w:cs="Arial"/>
                <w:color w:val="000099"/>
                <w:sz w:val="18"/>
                <w:szCs w:val="18"/>
                <w:lang w:eastAsia="en-US"/>
              </w:rPr>
            </w:pPr>
            <w:r>
              <w:rPr>
                <w:rFonts w:cs="Arial"/>
                <w:bCs/>
                <w:color w:val="000099"/>
                <w:sz w:val="18"/>
                <w:szCs w:val="18"/>
                <w:lang w:eastAsia="en-US"/>
              </w:rPr>
              <w:t>(Senior Statistical Officer)</w:t>
            </w:r>
          </w:p>
          <w:p w:rsidR="002016F9" w:rsidRDefault="002016F9" w:rsidP="00831AC3">
            <w:pPr>
              <w:spacing w:before="0" w:line="240" w:lineRule="auto"/>
              <w:jc w:val="center"/>
              <w:rPr>
                <w:rFonts w:cs="Arial"/>
                <w:color w:val="000099"/>
                <w:sz w:val="18"/>
                <w:szCs w:val="18"/>
                <w:lang w:eastAsia="en-US"/>
              </w:rPr>
            </w:pPr>
            <w:r>
              <w:rPr>
                <w:rFonts w:cs="Arial"/>
                <w:bCs/>
                <w:color w:val="000099"/>
                <w:sz w:val="18"/>
                <w:szCs w:val="18"/>
                <w:lang w:eastAsia="en-US"/>
              </w:rPr>
              <w:t>020 7211 8767</w:t>
            </w:r>
          </w:p>
          <w:p w:rsidR="002016F9" w:rsidRDefault="002016F9" w:rsidP="00831AC3">
            <w:pPr>
              <w:pStyle w:val="BodyText"/>
              <w:spacing w:line="276" w:lineRule="auto"/>
              <w:jc w:val="center"/>
              <w:rPr>
                <w:rFonts w:ascii="Arial" w:hAnsi="Arial"/>
                <w:color w:val="000099"/>
                <w:sz w:val="18"/>
                <w:szCs w:val="18"/>
              </w:rPr>
            </w:pPr>
          </w:p>
          <w:p w:rsidR="002016F9" w:rsidRDefault="002016F9" w:rsidP="00831AC3">
            <w:pPr>
              <w:pStyle w:val="BodyText"/>
              <w:spacing w:line="276" w:lineRule="auto"/>
              <w:jc w:val="center"/>
              <w:rPr>
                <w:rFonts w:ascii="Arial" w:hAnsi="Arial"/>
                <w:bCs w:val="0"/>
                <w:color w:val="000099"/>
                <w:sz w:val="18"/>
                <w:szCs w:val="18"/>
                <w:u w:val="single"/>
              </w:rPr>
            </w:pPr>
            <w:r>
              <w:rPr>
                <w:rFonts w:ascii="Arial" w:hAnsi="Arial"/>
                <w:color w:val="000099"/>
                <w:sz w:val="18"/>
                <w:szCs w:val="18"/>
              </w:rPr>
              <w:t>Lead on Labour Market, Groups of Workers, Small Firms and LFS</w:t>
            </w:r>
          </w:p>
        </w:tc>
        <w:tc>
          <w:tcPr>
            <w:tcW w:w="4678" w:type="dxa"/>
            <w:tcBorders>
              <w:top w:val="single" w:sz="4" w:space="0" w:color="auto"/>
              <w:left w:val="single" w:sz="4" w:space="0" w:color="auto"/>
              <w:bottom w:val="single" w:sz="4" w:space="0" w:color="auto"/>
              <w:right w:val="single" w:sz="4" w:space="0" w:color="auto"/>
            </w:tcBorders>
          </w:tcPr>
          <w:p w:rsidR="002016F9" w:rsidRDefault="002016F9" w:rsidP="00831AC3">
            <w:pPr>
              <w:pStyle w:val="BodyText"/>
              <w:spacing w:after="240" w:line="276" w:lineRule="auto"/>
              <w:jc w:val="center"/>
              <w:rPr>
                <w:rFonts w:ascii="Arial" w:hAnsi="Arial"/>
                <w:b/>
                <w:bCs w:val="0"/>
                <w:color w:val="000099"/>
                <w:sz w:val="18"/>
                <w:szCs w:val="18"/>
                <w:u w:val="single"/>
              </w:rPr>
            </w:pPr>
            <w:r>
              <w:rPr>
                <w:rFonts w:ascii="Arial" w:hAnsi="Arial"/>
                <w:b/>
                <w:bCs w:val="0"/>
                <w:color w:val="000099"/>
                <w:sz w:val="18"/>
                <w:szCs w:val="18"/>
                <w:u w:val="single"/>
              </w:rPr>
              <w:t>POLICY</w:t>
            </w:r>
          </w:p>
          <w:p w:rsidR="002016F9" w:rsidRDefault="002016F9" w:rsidP="00831AC3">
            <w:pPr>
              <w:pStyle w:val="BodyText"/>
              <w:spacing w:line="276" w:lineRule="auto"/>
              <w:jc w:val="center"/>
              <w:rPr>
                <w:rFonts w:ascii="Arial" w:hAnsi="Arial"/>
                <w:b/>
                <w:bCs w:val="0"/>
                <w:color w:val="FF0000"/>
                <w:sz w:val="18"/>
                <w:szCs w:val="18"/>
              </w:rPr>
            </w:pPr>
            <w:r w:rsidRPr="00BC3B07">
              <w:rPr>
                <w:rFonts w:ascii="Arial" w:hAnsi="Arial"/>
                <w:b/>
                <w:bCs w:val="0"/>
                <w:color w:val="FF0000"/>
                <w:sz w:val="20"/>
                <w:szCs w:val="18"/>
              </w:rPr>
              <w:t>Tony</w:t>
            </w:r>
            <w:r>
              <w:rPr>
                <w:rFonts w:ascii="Arial" w:hAnsi="Arial"/>
                <w:b/>
                <w:bCs w:val="0"/>
                <w:color w:val="FF0000"/>
                <w:sz w:val="18"/>
                <w:szCs w:val="18"/>
              </w:rPr>
              <w:t xml:space="preserve"> Studd</w:t>
            </w:r>
          </w:p>
          <w:p w:rsidR="002016F9" w:rsidRDefault="002016F9" w:rsidP="00831AC3">
            <w:pPr>
              <w:pStyle w:val="BodyText"/>
              <w:spacing w:line="276" w:lineRule="auto"/>
              <w:jc w:val="center"/>
              <w:rPr>
                <w:rFonts w:ascii="Arial" w:hAnsi="Arial"/>
                <w:color w:val="000099"/>
                <w:sz w:val="18"/>
                <w:szCs w:val="18"/>
              </w:rPr>
            </w:pPr>
            <w:r>
              <w:rPr>
                <w:rFonts w:ascii="Arial" w:hAnsi="Arial"/>
                <w:color w:val="000099"/>
                <w:sz w:val="18"/>
                <w:szCs w:val="18"/>
              </w:rPr>
              <w:t>(Head of Policy &amp; Administration)</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020 7211 8231</w:t>
            </w:r>
          </w:p>
          <w:p w:rsidR="002016F9" w:rsidRDefault="002016F9" w:rsidP="00831AC3">
            <w:pPr>
              <w:pStyle w:val="BodyText"/>
              <w:spacing w:line="276" w:lineRule="auto"/>
              <w:rPr>
                <w:rFonts w:ascii="Arial" w:hAnsi="Arial"/>
                <w:bCs w:val="0"/>
                <w:color w:val="000099"/>
                <w:sz w:val="18"/>
                <w:szCs w:val="18"/>
                <w:u w:val="single"/>
              </w:rPr>
            </w:pPr>
          </w:p>
          <w:p w:rsidR="002016F9" w:rsidRDefault="002016F9" w:rsidP="00831AC3">
            <w:pPr>
              <w:pStyle w:val="BodyText"/>
              <w:spacing w:line="276" w:lineRule="auto"/>
              <w:jc w:val="center"/>
              <w:rPr>
                <w:rFonts w:ascii="Arial" w:hAnsi="Arial"/>
                <w:color w:val="000099"/>
                <w:sz w:val="18"/>
                <w:szCs w:val="18"/>
              </w:rPr>
            </w:pPr>
            <w:r>
              <w:rPr>
                <w:rFonts w:ascii="Arial" w:hAnsi="Arial"/>
                <w:color w:val="000099"/>
                <w:sz w:val="18"/>
                <w:szCs w:val="18"/>
              </w:rPr>
              <w:t xml:space="preserve">Lead on NMW Policy Issues, BIS Sponsorship, Compliance &amp; Enforcement, Policy Relations with HMRC &amp; BIS, Management of Stakeholder Engagement, Specific Sector/Group of Worker Issues, LPC Administration </w:t>
            </w:r>
          </w:p>
          <w:p w:rsidR="002016F9" w:rsidRDefault="002016F9" w:rsidP="00831AC3">
            <w:pPr>
              <w:pStyle w:val="BodyText"/>
              <w:spacing w:line="276" w:lineRule="auto"/>
              <w:jc w:val="center"/>
              <w:rPr>
                <w:rFonts w:ascii="Arial" w:hAnsi="Arial"/>
                <w:color w:val="000099"/>
                <w:sz w:val="18"/>
                <w:szCs w:val="18"/>
              </w:rPr>
            </w:pPr>
          </w:p>
          <w:p w:rsidR="002016F9" w:rsidRDefault="002016F9" w:rsidP="00831AC3">
            <w:pPr>
              <w:pStyle w:val="BodyText"/>
              <w:spacing w:line="276" w:lineRule="auto"/>
              <w:jc w:val="center"/>
              <w:rPr>
                <w:rFonts w:ascii="Arial" w:hAnsi="Arial"/>
                <w:b/>
                <w:color w:val="FF0000"/>
                <w:sz w:val="18"/>
                <w:szCs w:val="18"/>
              </w:rPr>
            </w:pPr>
            <w:r>
              <w:rPr>
                <w:rFonts w:ascii="Arial" w:hAnsi="Arial"/>
                <w:b/>
                <w:color w:val="FF0000"/>
                <w:sz w:val="18"/>
                <w:szCs w:val="18"/>
              </w:rPr>
              <w:t>John Caseley</w:t>
            </w:r>
          </w:p>
          <w:p w:rsidR="002016F9" w:rsidRDefault="002016F9" w:rsidP="00831AC3">
            <w:pPr>
              <w:pStyle w:val="BodyText"/>
              <w:spacing w:line="276" w:lineRule="auto"/>
              <w:jc w:val="center"/>
              <w:rPr>
                <w:rFonts w:ascii="Arial" w:hAnsi="Arial"/>
                <w:color w:val="000099"/>
                <w:sz w:val="18"/>
                <w:szCs w:val="18"/>
              </w:rPr>
            </w:pPr>
            <w:r>
              <w:rPr>
                <w:rFonts w:ascii="Arial" w:hAnsi="Arial"/>
                <w:color w:val="000099"/>
                <w:sz w:val="18"/>
                <w:szCs w:val="18"/>
              </w:rPr>
              <w:t>(Policy Adviser &amp; Sponsorship)</w:t>
            </w:r>
          </w:p>
          <w:p w:rsidR="002016F9" w:rsidRDefault="002016F9" w:rsidP="00831AC3">
            <w:pPr>
              <w:pStyle w:val="BodyText"/>
              <w:spacing w:line="276" w:lineRule="auto"/>
              <w:jc w:val="center"/>
              <w:rPr>
                <w:rFonts w:ascii="Arial" w:hAnsi="Arial"/>
                <w:color w:val="000099"/>
                <w:sz w:val="18"/>
                <w:szCs w:val="18"/>
              </w:rPr>
            </w:pPr>
            <w:r>
              <w:rPr>
                <w:rFonts w:ascii="Arial" w:hAnsi="Arial"/>
                <w:color w:val="000099"/>
                <w:sz w:val="18"/>
                <w:szCs w:val="18"/>
              </w:rPr>
              <w:t>020 7211 8772</w:t>
            </w:r>
          </w:p>
          <w:p w:rsidR="002016F9" w:rsidRDefault="002016F9" w:rsidP="00831AC3">
            <w:pPr>
              <w:pStyle w:val="BodyText"/>
              <w:spacing w:after="240" w:line="276" w:lineRule="auto"/>
              <w:jc w:val="center"/>
              <w:rPr>
                <w:rFonts w:ascii="Arial" w:hAnsi="Arial"/>
                <w:bCs w:val="0"/>
                <w:color w:val="000099"/>
                <w:sz w:val="18"/>
                <w:szCs w:val="18"/>
              </w:rPr>
            </w:pPr>
            <w:r>
              <w:rPr>
                <w:rFonts w:ascii="Arial" w:hAnsi="Arial"/>
                <w:bCs w:val="0"/>
                <w:color w:val="000099"/>
                <w:sz w:val="18"/>
                <w:szCs w:val="18"/>
              </w:rPr>
              <w:t>Lead on Specific Sector/Worker Issues, Minimum Wages in Other Countries, BIS Sponsorship</w:t>
            </w:r>
          </w:p>
          <w:p w:rsidR="002016F9" w:rsidRDefault="002016F9" w:rsidP="00831AC3">
            <w:pPr>
              <w:pStyle w:val="BodyText"/>
              <w:spacing w:after="240" w:line="276" w:lineRule="auto"/>
              <w:jc w:val="center"/>
              <w:rPr>
                <w:rFonts w:ascii="Arial" w:hAnsi="Arial"/>
                <w:bCs w:val="0"/>
                <w:color w:val="000099"/>
                <w:sz w:val="18"/>
                <w:szCs w:val="18"/>
                <w:u w:val="single"/>
              </w:rPr>
            </w:pPr>
          </w:p>
          <w:p w:rsidR="002016F9" w:rsidRDefault="002016F9" w:rsidP="00831AC3">
            <w:pPr>
              <w:pStyle w:val="BodyText"/>
              <w:spacing w:after="240" w:line="276" w:lineRule="auto"/>
              <w:jc w:val="center"/>
              <w:rPr>
                <w:rFonts w:ascii="Arial" w:hAnsi="Arial"/>
                <w:color w:val="000099"/>
                <w:sz w:val="18"/>
                <w:szCs w:val="18"/>
              </w:rPr>
            </w:pPr>
          </w:p>
          <w:p w:rsidR="002016F9" w:rsidRDefault="002016F9" w:rsidP="00831AC3">
            <w:pPr>
              <w:pStyle w:val="BodyText"/>
              <w:spacing w:after="240" w:line="276" w:lineRule="auto"/>
              <w:jc w:val="center"/>
              <w:rPr>
                <w:rFonts w:ascii="Arial" w:hAnsi="Arial"/>
                <w:color w:val="000099"/>
                <w:sz w:val="18"/>
                <w:szCs w:val="18"/>
              </w:rPr>
            </w:pPr>
          </w:p>
          <w:p w:rsidR="002016F9" w:rsidRDefault="002016F9" w:rsidP="00831AC3">
            <w:pPr>
              <w:pStyle w:val="BodyText"/>
              <w:spacing w:after="240" w:line="276" w:lineRule="auto"/>
              <w:jc w:val="center"/>
              <w:rPr>
                <w:rFonts w:ascii="Arial" w:hAnsi="Arial"/>
                <w:bCs w:val="0"/>
                <w:color w:val="000099"/>
                <w:sz w:val="18"/>
                <w:szCs w:val="18"/>
              </w:rPr>
            </w:pPr>
          </w:p>
        </w:tc>
        <w:tc>
          <w:tcPr>
            <w:tcW w:w="4678" w:type="dxa"/>
            <w:tcBorders>
              <w:top w:val="single" w:sz="4" w:space="0" w:color="auto"/>
              <w:left w:val="single" w:sz="4" w:space="0" w:color="auto"/>
              <w:bottom w:val="single" w:sz="4" w:space="0" w:color="auto"/>
              <w:right w:val="single" w:sz="4" w:space="0" w:color="auto"/>
            </w:tcBorders>
          </w:tcPr>
          <w:p w:rsidR="002016F9" w:rsidRDefault="002016F9" w:rsidP="00831AC3">
            <w:pPr>
              <w:pStyle w:val="BodyText"/>
              <w:spacing w:after="240" w:line="276" w:lineRule="auto"/>
              <w:jc w:val="center"/>
              <w:rPr>
                <w:rFonts w:ascii="Arial" w:hAnsi="Arial"/>
                <w:b/>
                <w:bCs w:val="0"/>
                <w:color w:val="000099"/>
                <w:sz w:val="18"/>
                <w:szCs w:val="18"/>
                <w:u w:val="single"/>
              </w:rPr>
            </w:pPr>
            <w:r>
              <w:rPr>
                <w:rFonts w:ascii="Arial" w:hAnsi="Arial"/>
                <w:b/>
                <w:bCs w:val="0"/>
                <w:color w:val="000099"/>
                <w:sz w:val="18"/>
                <w:szCs w:val="18"/>
                <w:u w:val="single"/>
              </w:rPr>
              <w:t>ADMINISTRATION &amp; PRESS</w:t>
            </w:r>
          </w:p>
          <w:p w:rsidR="002016F9" w:rsidRDefault="002016F9" w:rsidP="00831AC3">
            <w:pPr>
              <w:pStyle w:val="BodyText"/>
              <w:spacing w:line="276" w:lineRule="auto"/>
              <w:jc w:val="center"/>
              <w:rPr>
                <w:rFonts w:ascii="Arial" w:hAnsi="Arial"/>
                <w:b/>
                <w:bCs w:val="0"/>
                <w:color w:val="FF0000"/>
                <w:sz w:val="18"/>
                <w:szCs w:val="18"/>
              </w:rPr>
            </w:pPr>
            <w:r>
              <w:rPr>
                <w:rFonts w:ascii="Arial" w:hAnsi="Arial"/>
                <w:b/>
                <w:bCs w:val="0"/>
                <w:color w:val="FF0000"/>
                <w:sz w:val="18"/>
                <w:szCs w:val="18"/>
              </w:rPr>
              <w:t>Roz Hands</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(Communications and Admin Manager)</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020 7211 8212</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 xml:space="preserve">Press Enquiries, Visits, </w:t>
            </w:r>
            <w:proofErr w:type="spellStart"/>
            <w:r>
              <w:rPr>
                <w:rFonts w:ascii="Arial" w:hAnsi="Arial"/>
                <w:bCs w:val="0"/>
                <w:color w:val="000099"/>
                <w:sz w:val="18"/>
                <w:szCs w:val="18"/>
              </w:rPr>
              <w:t>FoI</w:t>
            </w:r>
            <w:proofErr w:type="spellEnd"/>
            <w:r>
              <w:rPr>
                <w:rFonts w:ascii="Arial" w:hAnsi="Arial"/>
                <w:bCs w:val="0"/>
                <w:color w:val="000099"/>
                <w:sz w:val="18"/>
                <w:szCs w:val="18"/>
              </w:rPr>
              <w:t xml:space="preserve"> and Report Production</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
                <w:bCs w:val="0"/>
                <w:color w:val="000099"/>
                <w:sz w:val="18"/>
                <w:szCs w:val="18"/>
              </w:rPr>
            </w:pPr>
            <w:r>
              <w:rPr>
                <w:rFonts w:ascii="Arial" w:hAnsi="Arial"/>
                <w:b/>
                <w:bCs w:val="0"/>
                <w:color w:val="FF0000"/>
                <w:sz w:val="18"/>
                <w:szCs w:val="18"/>
              </w:rPr>
              <w:t>Jay Arjan</w:t>
            </w:r>
            <w:r>
              <w:rPr>
                <w:rFonts w:ascii="Arial" w:hAnsi="Arial"/>
                <w:b/>
                <w:bCs w:val="0"/>
                <w:color w:val="000099"/>
                <w:sz w:val="18"/>
                <w:szCs w:val="18"/>
              </w:rPr>
              <w:t xml:space="preserve"> </w:t>
            </w:r>
          </w:p>
          <w:p w:rsidR="002016F9" w:rsidRDefault="002016F9" w:rsidP="00831AC3">
            <w:pPr>
              <w:pStyle w:val="BodyText"/>
              <w:spacing w:line="276" w:lineRule="auto"/>
              <w:jc w:val="center"/>
              <w:rPr>
                <w:rFonts w:ascii="Arial" w:hAnsi="Arial"/>
                <w:color w:val="000099"/>
                <w:sz w:val="18"/>
                <w:szCs w:val="18"/>
              </w:rPr>
            </w:pPr>
            <w:r>
              <w:rPr>
                <w:rFonts w:ascii="Arial" w:hAnsi="Arial"/>
                <w:bCs w:val="0"/>
                <w:color w:val="000099"/>
                <w:sz w:val="18"/>
                <w:szCs w:val="18"/>
              </w:rPr>
              <w:t>(Office and Finance Manager)</w:t>
            </w:r>
          </w:p>
          <w:p w:rsidR="002016F9" w:rsidRDefault="002016F9" w:rsidP="00831AC3">
            <w:pPr>
              <w:pStyle w:val="BodyText"/>
              <w:spacing w:line="276" w:lineRule="auto"/>
              <w:jc w:val="center"/>
              <w:rPr>
                <w:rFonts w:ascii="Arial" w:hAnsi="Arial"/>
                <w:bCs w:val="0"/>
                <w:color w:val="000099"/>
                <w:sz w:val="18"/>
                <w:szCs w:val="18"/>
              </w:rPr>
            </w:pPr>
            <w:r>
              <w:rPr>
                <w:rFonts w:ascii="Arial" w:hAnsi="Arial"/>
                <w:bCs w:val="0"/>
                <w:color w:val="000099"/>
                <w:sz w:val="18"/>
                <w:szCs w:val="18"/>
              </w:rPr>
              <w:t>020 7211 8119</w:t>
            </w:r>
          </w:p>
          <w:p w:rsidR="002016F9" w:rsidRDefault="002016F9" w:rsidP="00831AC3">
            <w:pPr>
              <w:pStyle w:val="BodyText"/>
              <w:spacing w:line="276" w:lineRule="auto"/>
              <w:jc w:val="center"/>
              <w:rPr>
                <w:rFonts w:ascii="Arial" w:hAnsi="Arial"/>
                <w:bCs w:val="0"/>
                <w:color w:val="000099"/>
                <w:sz w:val="18"/>
                <w:szCs w:val="18"/>
              </w:rPr>
            </w:pPr>
          </w:p>
          <w:p w:rsidR="002016F9" w:rsidRDefault="002016F9" w:rsidP="00831AC3">
            <w:pPr>
              <w:pStyle w:val="BodyText"/>
              <w:spacing w:line="276" w:lineRule="auto"/>
              <w:jc w:val="center"/>
              <w:rPr>
                <w:rFonts w:ascii="Arial" w:hAnsi="Arial"/>
                <w:bCs w:val="0"/>
                <w:color w:val="000099"/>
                <w:sz w:val="18"/>
                <w:szCs w:val="18"/>
                <w:u w:val="single"/>
              </w:rPr>
            </w:pPr>
            <w:r>
              <w:rPr>
                <w:rFonts w:ascii="Arial" w:hAnsi="Arial"/>
                <w:color w:val="000099"/>
                <w:sz w:val="18"/>
                <w:szCs w:val="18"/>
              </w:rPr>
              <w:t>Finance, Office Management, HR, Public Enquiries, Training &amp; Development and  Website</w:t>
            </w:r>
          </w:p>
        </w:tc>
      </w:tr>
    </w:tbl>
    <w:p w:rsidR="002016F9" w:rsidRDefault="002016F9" w:rsidP="002016F9">
      <w:pPr>
        <w:rPr>
          <w:b/>
          <w:sz w:val="48"/>
          <w:szCs w:val="48"/>
        </w:rPr>
      </w:pPr>
    </w:p>
    <w:p w:rsidR="00BE297A" w:rsidRPr="002016F9" w:rsidRDefault="00BE297A">
      <w:pPr>
        <w:rPr>
          <w:rFonts w:cs="Arial"/>
        </w:rPr>
      </w:pPr>
    </w:p>
    <w:sectPr w:rsidR="00BE297A" w:rsidRPr="002016F9" w:rsidSect="00216017">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altName w:val="Arial"/>
    <w:charset w:val="00"/>
    <w:family w:val="swiss"/>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A2FED"/>
    <w:multiLevelType w:val="hybridMultilevel"/>
    <w:tmpl w:val="74FC6864"/>
    <w:lvl w:ilvl="0" w:tplc="59022DE0">
      <w:start w:val="6"/>
      <w:numFmt w:val="bullet"/>
      <w:lvlText w:val="-"/>
      <w:lvlJc w:val="left"/>
      <w:pPr>
        <w:tabs>
          <w:tab w:val="num" w:pos="720"/>
        </w:tabs>
        <w:ind w:left="720" w:hanging="360"/>
      </w:pPr>
      <w:rPr>
        <w:rFonts w:ascii="Arial (W1)" w:eastAsia="Times New Roman" w:hAnsi="Arial (W1)" w:cs="Arial (W1)"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F9"/>
    <w:rsid w:val="002016F9"/>
    <w:rsid w:val="00210BE2"/>
    <w:rsid w:val="00297079"/>
    <w:rsid w:val="00440477"/>
    <w:rsid w:val="004C4BE9"/>
    <w:rsid w:val="005D5BEF"/>
    <w:rsid w:val="0071697C"/>
    <w:rsid w:val="009038C9"/>
    <w:rsid w:val="00921C6F"/>
    <w:rsid w:val="00BB1C25"/>
    <w:rsid w:val="00BE297A"/>
    <w:rsid w:val="00C62CA9"/>
    <w:rsid w:val="00C876C4"/>
    <w:rsid w:val="00D50DA1"/>
    <w:rsid w:val="00E77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F9"/>
    <w:pPr>
      <w:spacing w:before="240" w:after="0" w:line="360" w:lineRule="auto"/>
    </w:pPr>
    <w:rPr>
      <w:rFonts w:ascii="Arial" w:eastAsia="Times New Roman" w:hAnsi="Arial" w:cs="Times New Roman"/>
      <w:sz w:val="24"/>
      <w:szCs w:val="24"/>
      <w:lang w:eastAsia="en-GB"/>
    </w:rPr>
  </w:style>
  <w:style w:type="paragraph" w:styleId="Heading1">
    <w:name w:val="heading 1"/>
    <w:aliases w:val="Numbered - 1"/>
    <w:basedOn w:val="Normal"/>
    <w:next w:val="Normal"/>
    <w:link w:val="Heading1Char"/>
    <w:qFormat/>
    <w:rsid w:val="002016F9"/>
    <w:pPr>
      <w:keepNext/>
      <w:outlineLvl w:val="0"/>
    </w:pPr>
    <w:rPr>
      <w:rFonts w:cs="Arial"/>
      <w:b/>
      <w:bCs/>
      <w:cap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rsid w:val="002016F9"/>
    <w:rPr>
      <w:rFonts w:ascii="Arial" w:eastAsia="Times New Roman" w:hAnsi="Arial" w:cs="Arial"/>
      <w:b/>
      <w:bCs/>
      <w:caps/>
      <w:kern w:val="32"/>
      <w:sz w:val="32"/>
      <w:szCs w:val="32"/>
      <w:lang w:eastAsia="en-GB"/>
    </w:rPr>
  </w:style>
  <w:style w:type="paragraph" w:styleId="NormalWeb">
    <w:name w:val="Normal (Web)"/>
    <w:basedOn w:val="Normal"/>
    <w:uiPriority w:val="99"/>
    <w:rsid w:val="002016F9"/>
    <w:pPr>
      <w:spacing w:before="100" w:beforeAutospacing="1" w:after="100" w:afterAutospacing="1" w:line="240" w:lineRule="auto"/>
    </w:pPr>
    <w:rPr>
      <w:rFonts w:cs="Arial"/>
    </w:rPr>
  </w:style>
  <w:style w:type="paragraph" w:styleId="BodyText">
    <w:name w:val="Body Text"/>
    <w:basedOn w:val="Normal"/>
    <w:link w:val="BodyTextChar"/>
    <w:rsid w:val="002016F9"/>
    <w:pPr>
      <w:spacing w:before="0" w:line="240" w:lineRule="auto"/>
    </w:pPr>
    <w:rPr>
      <w:rFonts w:ascii="Verdana" w:hAnsi="Verdana" w:cs="Arial"/>
      <w:bCs/>
      <w:color w:val="800080"/>
      <w:szCs w:val="16"/>
      <w:lang w:eastAsia="en-US"/>
    </w:rPr>
  </w:style>
  <w:style w:type="character" w:customStyle="1" w:styleId="BodyTextChar">
    <w:name w:val="Body Text Char"/>
    <w:basedOn w:val="DefaultParagraphFont"/>
    <w:link w:val="BodyText"/>
    <w:rsid w:val="002016F9"/>
    <w:rPr>
      <w:rFonts w:ascii="Verdana" w:eastAsia="Times New Roman" w:hAnsi="Verdana" w:cs="Arial"/>
      <w:bCs/>
      <w:color w:val="800080"/>
      <w:sz w:val="24"/>
      <w:szCs w:val="16"/>
    </w:rPr>
  </w:style>
  <w:style w:type="character" w:customStyle="1" w:styleId="apple-converted-space">
    <w:name w:val="apple-converted-space"/>
    <w:rsid w:val="00297079"/>
  </w:style>
  <w:style w:type="paragraph" w:styleId="BalloonText">
    <w:name w:val="Balloon Text"/>
    <w:basedOn w:val="Normal"/>
    <w:link w:val="BalloonTextChar"/>
    <w:uiPriority w:val="99"/>
    <w:semiHidden/>
    <w:unhideWhenUsed/>
    <w:rsid w:val="00C62CA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A9"/>
    <w:rPr>
      <w:rFonts w:ascii="Tahoma" w:eastAsia="Times New Roman" w:hAnsi="Tahoma" w:cs="Tahoma"/>
      <w:sz w:val="16"/>
      <w:szCs w:val="16"/>
      <w:lang w:eastAsia="en-GB"/>
    </w:rPr>
  </w:style>
  <w:style w:type="table" w:styleId="TableGrid">
    <w:name w:val="Table Grid"/>
    <w:basedOn w:val="TableNormal"/>
    <w:uiPriority w:val="59"/>
    <w:rsid w:val="00C87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F9"/>
    <w:pPr>
      <w:spacing w:before="240" w:after="0" w:line="360" w:lineRule="auto"/>
    </w:pPr>
    <w:rPr>
      <w:rFonts w:ascii="Arial" w:eastAsia="Times New Roman" w:hAnsi="Arial" w:cs="Times New Roman"/>
      <w:sz w:val="24"/>
      <w:szCs w:val="24"/>
      <w:lang w:eastAsia="en-GB"/>
    </w:rPr>
  </w:style>
  <w:style w:type="paragraph" w:styleId="Heading1">
    <w:name w:val="heading 1"/>
    <w:aliases w:val="Numbered - 1"/>
    <w:basedOn w:val="Normal"/>
    <w:next w:val="Normal"/>
    <w:link w:val="Heading1Char"/>
    <w:qFormat/>
    <w:rsid w:val="002016F9"/>
    <w:pPr>
      <w:keepNext/>
      <w:outlineLvl w:val="0"/>
    </w:pPr>
    <w:rPr>
      <w:rFonts w:cs="Arial"/>
      <w:b/>
      <w:bCs/>
      <w:cap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rsid w:val="002016F9"/>
    <w:rPr>
      <w:rFonts w:ascii="Arial" w:eastAsia="Times New Roman" w:hAnsi="Arial" w:cs="Arial"/>
      <w:b/>
      <w:bCs/>
      <w:caps/>
      <w:kern w:val="32"/>
      <w:sz w:val="32"/>
      <w:szCs w:val="32"/>
      <w:lang w:eastAsia="en-GB"/>
    </w:rPr>
  </w:style>
  <w:style w:type="paragraph" w:styleId="NormalWeb">
    <w:name w:val="Normal (Web)"/>
    <w:basedOn w:val="Normal"/>
    <w:uiPriority w:val="99"/>
    <w:rsid w:val="002016F9"/>
    <w:pPr>
      <w:spacing w:before="100" w:beforeAutospacing="1" w:after="100" w:afterAutospacing="1" w:line="240" w:lineRule="auto"/>
    </w:pPr>
    <w:rPr>
      <w:rFonts w:cs="Arial"/>
    </w:rPr>
  </w:style>
  <w:style w:type="paragraph" w:styleId="BodyText">
    <w:name w:val="Body Text"/>
    <w:basedOn w:val="Normal"/>
    <w:link w:val="BodyTextChar"/>
    <w:rsid w:val="002016F9"/>
    <w:pPr>
      <w:spacing w:before="0" w:line="240" w:lineRule="auto"/>
    </w:pPr>
    <w:rPr>
      <w:rFonts w:ascii="Verdana" w:hAnsi="Verdana" w:cs="Arial"/>
      <w:bCs/>
      <w:color w:val="800080"/>
      <w:szCs w:val="16"/>
      <w:lang w:eastAsia="en-US"/>
    </w:rPr>
  </w:style>
  <w:style w:type="character" w:customStyle="1" w:styleId="BodyTextChar">
    <w:name w:val="Body Text Char"/>
    <w:basedOn w:val="DefaultParagraphFont"/>
    <w:link w:val="BodyText"/>
    <w:rsid w:val="002016F9"/>
    <w:rPr>
      <w:rFonts w:ascii="Verdana" w:eastAsia="Times New Roman" w:hAnsi="Verdana" w:cs="Arial"/>
      <w:bCs/>
      <w:color w:val="800080"/>
      <w:sz w:val="24"/>
      <w:szCs w:val="16"/>
    </w:rPr>
  </w:style>
  <w:style w:type="character" w:customStyle="1" w:styleId="apple-converted-space">
    <w:name w:val="apple-converted-space"/>
    <w:rsid w:val="00297079"/>
  </w:style>
  <w:style w:type="paragraph" w:styleId="BalloonText">
    <w:name w:val="Balloon Text"/>
    <w:basedOn w:val="Normal"/>
    <w:link w:val="BalloonTextChar"/>
    <w:uiPriority w:val="99"/>
    <w:semiHidden/>
    <w:unhideWhenUsed/>
    <w:rsid w:val="00C62CA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A9"/>
    <w:rPr>
      <w:rFonts w:ascii="Tahoma" w:eastAsia="Times New Roman" w:hAnsi="Tahoma" w:cs="Tahoma"/>
      <w:sz w:val="16"/>
      <w:szCs w:val="16"/>
      <w:lang w:eastAsia="en-GB"/>
    </w:rPr>
  </w:style>
  <w:style w:type="table" w:styleId="TableGrid">
    <w:name w:val="Table Grid"/>
    <w:basedOn w:val="TableNormal"/>
    <w:uiPriority w:val="59"/>
    <w:rsid w:val="00C87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9E98-A25E-41DE-B4C6-DB3CCDE2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BIS</Company>
  <LinksUpToDate>false</LinksUpToDate>
  <CharactersWithSpaces>13605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 Tony (LPC)</dc:creator>
  <cp:lastModifiedBy>Hands Rosalind (LPC)</cp:lastModifiedBy>
  <cp:revision>2</cp:revision>
  <dcterms:created xsi:type="dcterms:W3CDTF">2015-10-01T14:24:00Z</dcterms:created>
  <dcterms:modified xsi:type="dcterms:W3CDTF">2015-10-01T14:24:00Z</dcterms:modified>
</cp:coreProperties>
</file>