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D5853" w14:textId="77777777" w:rsidR="000703CD" w:rsidRPr="00786D00" w:rsidRDefault="000703CD">
      <w:pPr>
        <w:spacing w:before="2000"/>
        <w:rPr>
          <w:rFonts w:ascii="Baskerville" w:hAnsi="Baskerville"/>
          <w:color w:val="000000" w:themeColor="text1"/>
        </w:rPr>
      </w:pPr>
    </w:p>
    <w:p w14:paraId="00120BF9" w14:textId="77777777" w:rsidR="000703CD" w:rsidRPr="00786D00" w:rsidRDefault="00000000">
      <w:pPr>
        <w:spacing w:after="32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4430B299" wp14:editId="1B406A01">
            <wp:extent cx="1714500" cy="457200"/>
            <wp:effectExtent l="0" t="0" r="0" b="0"/>
            <wp:docPr id="1" name="Bluwa" descr="Logo Bluwa ERP" title="Bluwa ER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1FC30" w14:textId="77777777" w:rsidR="000703CD" w:rsidRPr="00786D00" w:rsidRDefault="000703CD">
      <w:pPr>
        <w:pBdr>
          <w:bottom w:val="single" w:sz="6" w:space="0" w:color="1B4BFF"/>
        </w:pBdr>
        <w:spacing w:after="240"/>
        <w:jc w:val="center"/>
        <w:rPr>
          <w:rFonts w:ascii="Baskerville" w:hAnsi="Baskerville"/>
          <w:color w:val="000000" w:themeColor="text1"/>
        </w:rPr>
      </w:pPr>
    </w:p>
    <w:p w14:paraId="7D14A822" w14:textId="77777777" w:rsidR="000703CD" w:rsidRPr="00786D00" w:rsidRDefault="00000000">
      <w:pPr>
        <w:spacing w:before="200" w:after="8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52"/>
          <w:szCs w:val="52"/>
        </w:rPr>
        <w:t>Guide de démarrage</w:t>
      </w:r>
    </w:p>
    <w:p w14:paraId="1C832102" w14:textId="77777777" w:rsidR="000703CD" w:rsidRPr="00786D00" w:rsidRDefault="00000000">
      <w:pPr>
        <w:spacing w:after="6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28"/>
          <w:szCs w:val="28"/>
        </w:rPr>
        <w:t>Flux d’arrivée d’un client</w:t>
      </w:r>
    </w:p>
    <w:p w14:paraId="6D95F88E" w14:textId="77777777" w:rsidR="000703CD" w:rsidRPr="00786D00" w:rsidRDefault="00000000">
      <w:pPr>
        <w:spacing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  <w:sz w:val="20"/>
          <w:szCs w:val="20"/>
        </w:rPr>
        <w:t>Version 1.0</w:t>
      </w:r>
    </w:p>
    <w:p w14:paraId="2D6D4D95" w14:textId="77777777" w:rsidR="000703CD" w:rsidRPr="00786D00" w:rsidRDefault="00000000">
      <w:pPr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  <w:sz w:val="20"/>
          <w:szCs w:val="20"/>
        </w:rPr>
        <w:t>Juin 2026</w:t>
      </w:r>
    </w:p>
    <w:p w14:paraId="5546197B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7D4C610A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lastRenderedPageBreak/>
        <w:t>Introduction</w:t>
      </w:r>
    </w:p>
    <w:p w14:paraId="7633C945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Ce guide accompagne vos équipes lors de la première connexion à Bluwa ERP. Il couvre l’intégralité du flux d’arrivée, de la création de compte jusqu’au tableau de bord.</w:t>
      </w:r>
    </w:p>
    <w:p w14:paraId="3BBD5A05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Durée estimée : 5 à 10 minutes.</w:t>
      </w:r>
    </w:p>
    <w:p w14:paraId="6A3358B1" w14:textId="77777777" w:rsidR="000703CD" w:rsidRPr="00786D00" w:rsidRDefault="00000000">
      <w:pPr>
        <w:spacing w:before="160"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Prérequis</w:t>
      </w:r>
    </w:p>
    <w:p w14:paraId="4EDE6733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Un ordinateur avec un navigateur moderne (Chrome, Safari, Firefox…)</w:t>
      </w:r>
    </w:p>
    <w:p w14:paraId="4529F4C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Une adresse email valide ou un compte Google</w:t>
      </w:r>
    </w:p>
    <w:p w14:paraId="759F7929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Les informations de votre usine (nom, ville, pays)</w:t>
      </w:r>
    </w:p>
    <w:p w14:paraId="01F80D10" w14:textId="77777777" w:rsidR="000703CD" w:rsidRPr="00786D00" w:rsidRDefault="000703CD">
      <w:pPr>
        <w:spacing w:after="80"/>
        <w:rPr>
          <w:rFonts w:ascii="Baskerville" w:hAnsi="Baskerville"/>
          <w:color w:val="000000" w:themeColor="text1"/>
        </w:rPr>
      </w:pPr>
    </w:p>
    <w:p w14:paraId="2419D955" w14:textId="77777777" w:rsidR="000703CD" w:rsidRPr="00786D00" w:rsidRDefault="00786D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Ce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document est mis à jour après chaque évolution de l’application. Version actuelle disponible auprès de votre interlocuteur Bluwa.</w:t>
      </w:r>
    </w:p>
    <w:p w14:paraId="0EB36667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136C43B4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1 sur 7</w:t>
      </w:r>
    </w:p>
    <w:p w14:paraId="3B6E1267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Créer un compte</w:t>
      </w:r>
    </w:p>
    <w:p w14:paraId="08C4D43C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Rendez-vous sur « app.bluwa.com » dans votre navigateur. Vous arrivez sur la page de création de compte.</w:t>
      </w:r>
    </w:p>
    <w:p w14:paraId="020EBAF9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Option A — Via Google (recommandé)</w:t>
      </w:r>
    </w:p>
    <w:p w14:paraId="0A27864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Continuer avec Google »</w:t>
      </w:r>
    </w:p>
    <w:p w14:paraId="2956FE8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Sélectionnez votre compte Google professionnel</w:t>
      </w:r>
    </w:p>
    <w:p w14:paraId="096F5C6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Autorisez l’accès si demandé</w:t>
      </w:r>
    </w:p>
    <w:p w14:paraId="10378337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Option B — Via Email</w:t>
      </w:r>
    </w:p>
    <w:p w14:paraId="3CB196E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Saisissez votre nom complet</w:t>
      </w:r>
    </w:p>
    <w:p w14:paraId="03F61949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Entrez votre adresse Email professionnelle</w:t>
      </w:r>
    </w:p>
    <w:p w14:paraId="1334B1B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Choisissez un mot de passe d’au moins 8 caractères</w:t>
      </w:r>
    </w:p>
    <w:p w14:paraId="67930CDA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Créer mon compte »</w:t>
      </w:r>
    </w:p>
    <w:p w14:paraId="0F60F0B3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14FEACEA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112F7AB6" wp14:editId="6583637E">
            <wp:extent cx="5429250" cy="2943225"/>
            <wp:effectExtent l="0" t="0" r="0" b="0"/>
            <wp:docPr id="1928447309" name="signup.png" descr="signup.png" title="sign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C5518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1 - Page de création de compte</w:t>
      </w:r>
    </w:p>
    <w:p w14:paraId="6A992327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Si vous avez déjà un compte, cliquez sur « Se connecter » en bas de la page.</w:t>
      </w:r>
    </w:p>
    <w:p w14:paraId="0FE67A2B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17E985C9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2 sur 7</w:t>
      </w:r>
    </w:p>
    <w:p w14:paraId="74BE3267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Se connecter</w:t>
      </w:r>
    </w:p>
    <w:p w14:paraId="3FA09713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Si vous possédez déjà un compte, allez directement sur la page de connexion.</w:t>
      </w:r>
    </w:p>
    <w:p w14:paraId="0ED07EE9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Entrez votre adresse Email et votre mot de passe</w:t>
      </w:r>
    </w:p>
    <w:p w14:paraId="6FA15D4D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Ou cliquez sur « Continuer avec Google »</w:t>
      </w:r>
    </w:p>
    <w:p w14:paraId="1C8536B4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Se connecter »</w:t>
      </w:r>
    </w:p>
    <w:p w14:paraId="3D90683D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67FBC59F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7C8CCEA2" wp14:editId="40E01257">
            <wp:extent cx="5429250" cy="2943225"/>
            <wp:effectExtent l="0" t="0" r="0" b="0"/>
            <wp:docPr id="1171992088" name="login.png" descr="login.png" title="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96052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2 — Page de connexion</w:t>
      </w:r>
    </w:p>
    <w:p w14:paraId="6E50F16B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En cas d’oubli de mot de passe, contactez votre administrateur Bluwa.</w:t>
      </w:r>
    </w:p>
    <w:p w14:paraId="324A8896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7066BFED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3 sur 7</w:t>
      </w:r>
    </w:p>
    <w:p w14:paraId="30DDD458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Accepter les Conditions Générales d’Utilisation</w:t>
      </w:r>
    </w:p>
    <w:p w14:paraId="4928075D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Après votre première connexion, Bluwa ERP vous redirige automatiquement vers la page des Conditions Générales d’Utilisation (CGU). Vous devez les lire et les accepter avant d’accéder à la plateforme.</w:t>
      </w:r>
    </w:p>
    <w:p w14:paraId="1FAF5AFF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Faites défiler le texte jusqu’en bas pour activer la case à cocher</w:t>
      </w:r>
    </w:p>
    <w:p w14:paraId="2542A4CE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Cochez « J’ai lu et j’accepte les Conditions Générales d’Utilisation de Bluwa ERP (version 1.0) »</w:t>
      </w:r>
    </w:p>
    <w:p w14:paraId="08B94735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Accepter et accéder à la plateforme »</w:t>
      </w:r>
    </w:p>
    <w:p w14:paraId="46ED83F6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Les CGU sont à accepter une seule fois par utilisateur. En cas de mise à jour, vous serez invité à les accepter à nouveau.</w:t>
      </w:r>
    </w:p>
    <w:p w14:paraId="20EC47B1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t>Étape 4 sur 7</w:t>
      </w:r>
    </w:p>
    <w:p w14:paraId="2387042E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Configurer votre organisation</w:t>
      </w:r>
    </w:p>
    <w:p w14:paraId="0DB81901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Après la première connexion, vous arrivez automatiquement sur l’assistant de configuration en 2 étapes.</w:t>
      </w:r>
    </w:p>
    <w:p w14:paraId="6AA3E8FE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L’étape 1 concerne votre organisation (le groupe ou l’entreprise mère).</w:t>
      </w:r>
    </w:p>
    <w:p w14:paraId="2D2E49DE" w14:textId="77777777" w:rsidR="000703CD" w:rsidRPr="00786D00" w:rsidRDefault="00000000">
      <w:pPr>
        <w:spacing w:before="120"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Comment remplir ce champ :</w:t>
      </w:r>
    </w:p>
    <w:p w14:paraId="63D48B35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Saisissez le nom officiel de votre entreprise ou groupe</w:t>
      </w:r>
    </w:p>
    <w:p w14:paraId="6BED6DF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Exemple : « Chom Factory », « Africube »</w:t>
      </w:r>
    </w:p>
    <w:p w14:paraId="0EA12E72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Ce nom apparaîtra sur vos documents et rapports</w:t>
      </w:r>
    </w:p>
    <w:p w14:paraId="587F936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Continuer »</w:t>
      </w:r>
    </w:p>
    <w:p w14:paraId="31475F11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1A16D7EF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6F2C6640" wp14:editId="00591754">
            <wp:extent cx="5428574" cy="3064933"/>
            <wp:effectExtent l="0" t="0" r="0" b="0"/>
            <wp:docPr id="1380138437" name="image-1780755826039.jpg" descr="image-1780755826039.jpg" title="image-178075582603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0"/>
                    <a:srcRect t="3833" b="9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065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6AD9C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3 — Étape 1 : Nom de l’organisation</w:t>
      </w:r>
    </w:p>
    <w:p w14:paraId="731F25F1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0CFF7A87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5 sur 7</w:t>
      </w:r>
    </w:p>
    <w:p w14:paraId="400C36C7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Configurer votre première usine</w:t>
      </w:r>
    </w:p>
    <w:p w14:paraId="2F9E50CD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L’étape 2 configure votre site de production principal. Vous pourrez en ajouter d’autres depuis les paramètres.</w:t>
      </w:r>
    </w:p>
    <w:p w14:paraId="678EA083" w14:textId="77777777" w:rsidR="000703CD" w:rsidRPr="00786D00" w:rsidRDefault="00000000">
      <w:pPr>
        <w:spacing w:before="120"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Champs à remplir :</w:t>
      </w:r>
    </w:p>
    <w:p w14:paraId="65B0ABD6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Nom de l’usine : le nom du site de production (ex : « Usine Lomé »)</w:t>
      </w:r>
    </w:p>
    <w:p w14:paraId="45BD204F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Pays : sélectionnez votre pays dans la liste déroulante</w:t>
      </w:r>
    </w:p>
    <w:p w14:paraId="038D624D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Ville (optionnel) : la ville où se trouve l’usine</w:t>
      </w:r>
    </w:p>
    <w:p w14:paraId="6200D12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Créer mon espace »</w:t>
      </w:r>
    </w:p>
    <w:p w14:paraId="5464B350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363FDE5A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7429EFE0" wp14:editId="6DC43481">
            <wp:extent cx="5428615" cy="2912414"/>
            <wp:effectExtent l="0" t="0" r="0" b="0"/>
            <wp:docPr id="2110868416" name="image-1780755880122.jpg" descr="image-1780755880122.jpg" title="image-17807558801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1"/>
                    <a:srcRect t="8625" b="8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12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41F7D0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4 — Étape 2 : Usine, Pays et Ville</w:t>
      </w:r>
    </w:p>
    <w:p w14:paraId="3CCCCD97" w14:textId="77777777" w:rsidR="000703CD" w:rsidRPr="00786D00" w:rsidRDefault="003F53BF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La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page peut prendre quelques secondes. Si elle reste bloquée sur « Création… », actualisez la page (F5) — votre espace a été créé.</w:t>
      </w:r>
    </w:p>
    <w:p w14:paraId="17F7EA55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1CE57581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6 sur 7</w:t>
      </w:r>
    </w:p>
    <w:p w14:paraId="29D9994D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Tableau de bord</w:t>
      </w:r>
    </w:p>
    <w:p w14:paraId="1BDAE4BC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Vous arrivez sur le tableau de bord Bluwa ERP. C’est votre point d’entrée principal à chaque connexion.</w:t>
      </w:r>
    </w:p>
    <w:p w14:paraId="3785B7E5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Ce que vous voyez</w:t>
      </w:r>
    </w:p>
    <w:p w14:paraId="1FEC9D7E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Indicateurs clés : lots actifs, valeur du stock, taux de rendement, non-conformités</w:t>
      </w:r>
    </w:p>
    <w:p w14:paraId="5362A152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Alertes prioritaires (ruptures, DLC, réceptions en attente)</w:t>
      </w:r>
    </w:p>
    <w:p w14:paraId="09D3A9A0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Navigation</w:t>
      </w:r>
    </w:p>
    <w:p w14:paraId="181F02A5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La barre latérale gauche donne accès à tous les modules :</w:t>
      </w:r>
    </w:p>
    <w:p w14:paraId="78B52B29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Données de référence : Articles, Clients, Fournisseurs</w:t>
      </w:r>
    </w:p>
    <w:p w14:paraId="5945BF13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Ventes &amp; Logistique : Commandes, Facturation, Bons de livraison</w:t>
      </w:r>
    </w:p>
    <w:p w14:paraId="63C02D6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Production : Ordres de fabrication, Lots, Qualité</w:t>
      </w:r>
    </w:p>
    <w:p w14:paraId="5E9B42D4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Achats &amp; Stocks : Approvisionnement, Réception, Stocks</w:t>
      </w:r>
    </w:p>
    <w:p w14:paraId="055F9A82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3FB71863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5E91C358" wp14:editId="5E83E02E">
            <wp:extent cx="5429250" cy="3533775"/>
            <wp:effectExtent l="0" t="0" r="0" b="0"/>
            <wp:docPr id="1766232374" name="image-1780755895995.jpg" descr="image-1780755895995.jpg" title="image-178075589599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596A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5 — Tableau de bord</w:t>
      </w:r>
    </w:p>
    <w:p w14:paraId="29863457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Les données affichées au premier lancement sont des exemples. Elles seront remplacées par vos propres données au fur et à mesure de l’utilisation.</w:t>
      </w:r>
    </w:p>
    <w:p w14:paraId="1C92B89C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43C10BB1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lastRenderedPageBreak/>
        <w:t>Prochaines étapes</w:t>
      </w:r>
    </w:p>
    <w:p w14:paraId="5FEA6907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Maintenant que votre espace est créé, voici les prochaines étapes dans l’ordre :</w:t>
      </w:r>
    </w:p>
    <w:p w14:paraId="3ECC28AE" w14:textId="77777777" w:rsidR="000703CD" w:rsidRPr="00786D00" w:rsidRDefault="000703CD">
      <w:pPr>
        <w:spacing w:before="160" w:after="80"/>
        <w:rPr>
          <w:rFonts w:ascii="Baskerville" w:hAnsi="Baskerville"/>
          <w:color w:val="000000" w:themeColor="text1"/>
        </w:rPr>
      </w:pPr>
    </w:p>
    <w:p w14:paraId="39416DB5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Renseigner vos articles, fournisseurs et clients (voir Étape 6 ci-après)</w:t>
      </w:r>
    </w:p>
    <w:p w14:paraId="1E1A9212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Enregistrer votre première réception de matières premières</w:t>
      </w:r>
    </w:p>
    <w:p w14:paraId="7C6283C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Lancer votre premier ordre de fabrication</w:t>
      </w:r>
    </w:p>
    <w:p w14:paraId="6A66F8FB" w14:textId="77777777" w:rsidR="000703CD" w:rsidRPr="00786D00" w:rsidRDefault="000703CD">
      <w:pPr>
        <w:spacing w:before="280"/>
        <w:rPr>
          <w:rFonts w:ascii="Baskerville" w:hAnsi="Baskerville"/>
          <w:color w:val="000000" w:themeColor="text1"/>
        </w:rPr>
      </w:pPr>
    </w:p>
    <w:p w14:paraId="0B6AA727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Pour toute question, contactez votre interlocuteur Bluwa.</w:t>
      </w:r>
    </w:p>
    <w:p w14:paraId="159B4136" w14:textId="77777777" w:rsidR="000703CD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00217762" w14:textId="77777777" w:rsidR="000703CD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7 sur 7</w:t>
      </w:r>
    </w:p>
    <w:p w14:paraId="1EED9803" w14:textId="77777777" w:rsidR="000703CD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Renseigner vos données de référence</w:t>
      </w:r>
    </w:p>
    <w:p w14:paraId="1BED616B" w14:textId="77777777" w:rsidR="000703CD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Avant de pouvoir enregistrer une réception, lancer un ordre de fabrication ou créer une vente, vous devez renseigner vos données de base : articles, fournisseurs et clients. Deux méthodes sont disponibles selon votre situation.</w:t>
      </w:r>
    </w:p>
    <w:p w14:paraId="7CBEFBD1" w14:textId="77777777" w:rsidR="000703CD" w:rsidRDefault="00000000">
      <w:pPr>
        <w:spacing w:before="280" w:after="80"/>
        <w:rPr>
          <w:rFonts w:ascii="Baskerville" w:hAnsi="Baskerville"/>
          <w:b/>
          <w:bCs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Méthode A — Saisie manuelle (recommandée pour démarrer)</w:t>
      </w:r>
    </w:p>
    <w:p w14:paraId="45CF78BC" w14:textId="77777777" w:rsidR="000703CD" w:rsidRDefault="00000000">
      <w:p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Depuis la barre latérale, allez dans le module souhaité (« Articles », « Fournisseurs » ou « Clients »), puis :</w:t>
      </w:r>
    </w:p>
    <w:p w14:paraId="4357AF38" w14:textId="77777777" w:rsidR="000703CD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AA01BB02" wp14:editId="CC03DD04">
            <wp:extent cx="5429250" cy="2640657"/>
            <wp:effectExtent l="0" t="0" r="0" b="0"/>
            <wp:docPr id="1701000001" name="page_articles.png" descr="Page Articles - vue générale" title="Page Articles - vue généra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4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D8E7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+ Ajouter »</w:t>
      </w:r>
    </w:p>
    <w:p w14:paraId="4732DC6D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Remplissez le formulaire (seuls les champs marqués * sont obligatoires)</w:t>
      </w:r>
    </w:p>
    <w:p w14:paraId="053F1885" w14:textId="77777777" w:rsidR="000703CD" w:rsidRDefault="00000000">
      <w:pPr>
        <w:pStyle w:val="Paragraphedeliste"/>
        <w:numPr>
          <w:ilvl w:val="0"/>
          <w:numId w:val="2"/>
        </w:num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Enregistrer »</w:t>
      </w:r>
    </w:p>
    <w:p w14:paraId="609C4E67" w14:textId="77777777" w:rsidR="000703CD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AA05BB06" wp14:editId="CC07DD08">
            <wp:extent cx="5429250" cy="2633149"/>
            <wp:effectExtent l="0" t="0" r="0" b="0"/>
            <wp:docPr id="1701000002" name="modal_article.png" descr="Formulaire nouvel article" title="Formulaire nouvel artic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3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8A613" w14:textId="77777777" w:rsidR="000703CD" w:rsidRDefault="00000000">
      <w:pPr>
        <w:spacing w:after="200"/>
        <w:rPr>
          <w:rFonts w:ascii="Baskerville" w:hAnsi="Baskerville"/>
          <w:i/>
          <w:iCs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</w:rPr>
        <w:t>Recommandée si vous avez peu d’articles ou souhaitez démarrer progressivement.</w:t>
      </w:r>
    </w:p>
    <w:p w14:paraId="1A880CE2" w14:textId="77777777" w:rsidR="000703CD" w:rsidRDefault="00000000">
      <w:pPr>
        <w:spacing w:before="280" w:after="80"/>
        <w:rPr>
          <w:rFonts w:ascii="Baskerville" w:hAnsi="Baskerville"/>
          <w:b/>
          <w:bCs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Méthode B — Import en masse via le fichier template</w:t>
      </w:r>
    </w:p>
    <w:p w14:paraId="7062F5BE" w14:textId="77777777" w:rsidR="000703CD" w:rsidRDefault="00000000">
      <w:p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 xml:space="preserve">Si vous avez un catalogue existant, utilisez le fichier </w:t>
      </w:r>
      <w:r>
        <w:rPr>
          <w:rFonts w:ascii="Baskerville" w:hAnsi="Baskerville"/>
          <w:b/>
          <w:bCs/>
          <w:color w:val="000000" w:themeColor="text1"/>
        </w:rPr>
        <w:t>Bluwa_Templates_Import.xlsx</w:t>
      </w:r>
      <w:r>
        <w:rPr>
          <w:rFonts w:ascii="Baskerville" w:hAnsi="Baskerville"/>
          <w:color w:val="000000" w:themeColor="text1"/>
        </w:rPr>
        <w:t xml:space="preserve"> fourni par votre chargé de déploiement. Remplissez les onglets concernés (Articles, Fournisseurs, Clients), enregistrez en CSV, puis :</w:t>
      </w:r>
    </w:p>
    <w:p w14:paraId="1F7A6A58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Dans l’application, allez dans le module souhaité (Articles, Fournisseurs ou Clients)</w:t>
      </w:r>
    </w:p>
    <w:p w14:paraId="364E703C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lastRenderedPageBreak/>
        <w:t>Cliquez sur l’icône « Importer » en haut à droite</w:t>
      </w:r>
    </w:p>
    <w:p w14:paraId="7A348576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Sélectionnez votre fichier CSV</w:t>
      </w:r>
    </w:p>
    <w:p w14:paraId="4BF0EDA3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Vérifiez le mapping des colonnes — Bluwa associe automatiquement les colonnes connues</w:t>
      </w:r>
    </w:p>
    <w:p w14:paraId="74D96419" w14:textId="77777777" w:rsidR="000703CD" w:rsidRDefault="00000000">
      <w:pPr>
        <w:pStyle w:val="Paragraphedeliste"/>
        <w:numPr>
          <w:ilvl w:val="0"/>
          <w:numId w:val="2"/>
        </w:numPr>
        <w:spacing w:after="1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Importer X lignes » pour confirmer</w:t>
      </w:r>
    </w:p>
    <w:p w14:paraId="52E203C6" w14:textId="77777777" w:rsidR="000703CD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AA09BB0A" wp14:editId="CC0BDD0C">
            <wp:extent cx="5429250" cy="2638859"/>
            <wp:effectExtent l="0" t="0" r="0" b="0"/>
            <wp:docPr id="1701000003" name="import_article.png" descr="Dialog import CSV articles" title="Dialog import CSV 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38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7A3F6" w14:textId="77777777" w:rsidR="000703CD" w:rsidRDefault="00000000">
      <w:pPr>
        <w:shd w:val="clear" w:color="auto" w:fill="EEF4FF"/>
        <w:spacing w:before="80" w:after="28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Les codes articles, fournisseurs et clients sont générés automatiquement si vous laissez la colonne vide. Vous pouvez les modifier depuis l’application à tout moment.</w:t>
      </w:r>
    </w:p>
    <w:p w14:paraId="10000001" w14:textId="77777777" w:rsidR="000703CD" w:rsidRDefault="000703CD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Règles de Gestion Strictes du Référentiel</w:t>
      </w:r>
    </w:p>
    <w:p w14:paraId="10000002" w14:textId="77777777" w:rsidR="000703CD" w:rsidRDefault="000703CD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1/ Blocage des flux</w:t>
      </w:r>
    </w:p>
    <w:p w14:paraId="10000003" w14:textId="77777777" w:rsidR="000703CD" w:rsidRDefault="000703CD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 xml:space="preserve">Interdiction stricte de faire une réception fournisseur directe (achat spot / terrain) sur des produits de type </w:t>
      </w:r>
      <w:r>
        <w:rPr>
          <w:rFonts w:ascii="Baskerville" w:hAnsi="Baskerville"/>
          <w:b/>
          <w:bCs/>
          <w:color w:val="000000" w:themeColor="text1"/>
        </w:rPr>
        <w:t>PF</w:t>
      </w:r>
      <w:r>
        <w:rPr>
          <w:rFonts w:ascii="Baskerville" w:hAnsi="Baskerville"/>
          <w:color w:val="000000" w:themeColor="text1"/>
        </w:rPr>
        <w:t xml:space="preserve"> ou </w:t>
      </w:r>
      <w:r>
        <w:rPr>
          <w:rFonts w:ascii="Baskerville" w:hAnsi="Baskerville"/>
          <w:b/>
          <w:bCs/>
          <w:color w:val="000000" w:themeColor="text1"/>
        </w:rPr>
        <w:t>PSF</w:t>
      </w:r>
      <w:r>
        <w:rPr>
          <w:rFonts w:ascii="Baskerville" w:hAnsi="Baskerville"/>
          <w:color w:val="000000" w:themeColor="text1"/>
        </w:rPr>
        <w:t xml:space="preserve">. Seuls les types </w:t>
      </w:r>
      <w:r>
        <w:rPr>
          <w:rFonts w:ascii="Baskerville" w:hAnsi="Baskerville"/>
          <w:b/>
          <w:bCs/>
          <w:color w:val="000000" w:themeColor="text1"/>
        </w:rPr>
        <w:t>MP, CS et AC</w:t>
      </w:r>
      <w:r>
        <w:rPr>
          <w:rFonts w:ascii="Baskerville" w:hAnsi="Baskerville"/>
          <w:color w:val="000000" w:themeColor="text1"/>
        </w:rPr>
        <w:t xml:space="preserve"> sont autorisés pour une réception directe fournisseur.</w:t>
      </w:r>
    </w:p>
    <w:p w14:paraId="10000004" w14:textId="77777777" w:rsidR="000703CD" w:rsidRDefault="000703CD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2/ Statut QC &amp; Stocks</w:t>
      </w:r>
    </w:p>
    <w:p w14:paraId="10000005" w14:textId="77777777" w:rsidR="000703CD" w:rsidRDefault="000703CD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 xml:space="preserve">Alignement automatique. Tout lot avec un statut QC </w:t>
      </w:r>
      <w:r>
        <w:rPr>
          <w:rFonts w:ascii="Baskerville" w:hAnsi="Baskerville"/>
          <w:b/>
          <w:bCs/>
          <w:color w:val="000000" w:themeColor="text1"/>
        </w:rPr>
        <w:t>‘En contrôle’</w:t>
      </w:r>
      <w:r>
        <w:rPr>
          <w:rFonts w:ascii="Baskerville" w:hAnsi="Baskerville"/>
          <w:color w:val="000000" w:themeColor="text1"/>
        </w:rPr>
        <w:t xml:space="preserve"> ou </w:t>
      </w:r>
      <w:r>
        <w:rPr>
          <w:rFonts w:ascii="Baskerville" w:hAnsi="Baskerville"/>
          <w:b/>
          <w:bCs/>
          <w:color w:val="000000" w:themeColor="text1"/>
        </w:rPr>
        <w:t>‘Rejeté’</w:t>
      </w:r>
      <w:r>
        <w:rPr>
          <w:rFonts w:ascii="Baskerville" w:hAnsi="Baskerville"/>
          <w:color w:val="000000" w:themeColor="text1"/>
        </w:rPr>
        <w:t xml:space="preserve"> bascule obligatoirement en état </w:t>
      </w:r>
      <w:r>
        <w:rPr>
          <w:rFonts w:ascii="Baskerville" w:hAnsi="Baskerville"/>
          <w:b/>
          <w:bCs/>
          <w:color w:val="000000" w:themeColor="text1"/>
        </w:rPr>
        <w:t>‘Quarantaine’</w:t>
      </w:r>
      <w:r>
        <w:rPr>
          <w:rFonts w:ascii="Baskerville" w:hAnsi="Baskerville"/>
          <w:color w:val="000000" w:themeColor="text1"/>
        </w:rPr>
        <w:t xml:space="preserve">. Seul le statut QC </w:t>
      </w:r>
      <w:r>
        <w:rPr>
          <w:rFonts w:ascii="Baskerville" w:hAnsi="Baskerville"/>
          <w:b/>
          <w:bCs/>
          <w:color w:val="000000" w:themeColor="text1"/>
        </w:rPr>
        <w:t>‘Libéré’</w:t>
      </w:r>
      <w:r>
        <w:rPr>
          <w:rFonts w:ascii="Baskerville" w:hAnsi="Baskerville"/>
          <w:color w:val="000000" w:themeColor="text1"/>
        </w:rPr>
        <w:t xml:space="preserve"> permet l’état </w:t>
      </w:r>
      <w:r>
        <w:rPr>
          <w:rFonts w:ascii="Baskerville" w:hAnsi="Baskerville"/>
          <w:b/>
          <w:bCs/>
          <w:color w:val="000000" w:themeColor="text1"/>
        </w:rPr>
        <w:t>‘Disponible’</w:t>
      </w:r>
      <w:r>
        <w:rPr>
          <w:rFonts w:ascii="Baskerville" w:hAnsi="Baskerville"/>
          <w:color w:val="000000" w:themeColor="text1"/>
        </w:rPr>
        <w:t>.</w:t>
      </w:r>
    </w:p>
    <w:p w14:paraId="10000006" w14:textId="77777777" w:rsidR="000703CD" w:rsidRDefault="000703CD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3/ Cycle de vie Article</w:t>
      </w:r>
    </w:p>
    <w:p w14:paraId="10000007" w14:textId="77777777" w:rsidR="000703CD" w:rsidRDefault="000703CD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 xml:space="preserve">Si le statut d’un article est </w:t>
      </w:r>
      <w:r>
        <w:rPr>
          <w:rFonts w:ascii="Baskerville" w:hAnsi="Baskerville"/>
          <w:b/>
          <w:bCs/>
          <w:color w:val="000000" w:themeColor="text1"/>
        </w:rPr>
        <w:t>‘Actif’</w:t>
      </w:r>
      <w:r>
        <w:rPr>
          <w:rFonts w:ascii="Baskerville" w:hAnsi="Baskerville"/>
          <w:color w:val="000000" w:themeColor="text1"/>
        </w:rPr>
        <w:t xml:space="preserve"> ou </w:t>
      </w:r>
      <w:r>
        <w:rPr>
          <w:rFonts w:ascii="Baskerville" w:hAnsi="Baskerville"/>
          <w:b/>
          <w:bCs/>
          <w:color w:val="000000" w:themeColor="text1"/>
        </w:rPr>
        <w:t>‘Bloqué’</w:t>
      </w:r>
      <w:r>
        <w:rPr>
          <w:rFonts w:ascii="Baskerville" w:hAnsi="Baskerville"/>
          <w:color w:val="000000" w:themeColor="text1"/>
        </w:rPr>
        <w:t xml:space="preserve">, les champs critiques (</w:t>
      </w:r>
      <w:r>
        <w:rPr>
          <w:rFonts w:ascii="Baskerville" w:hAnsi="Baskerville"/>
          <w:b/>
          <w:bCs/>
          <w:color w:val="000000" w:themeColor="text1"/>
        </w:rPr>
        <w:t>Code / SKU, Type, Unités, Conversions</w:t>
      </w:r>
      <w:r>
        <w:rPr>
          <w:rFonts w:ascii="Baskerville" w:hAnsi="Baskerville"/>
          <w:color w:val="000000" w:themeColor="text1"/>
        </w:rPr>
        <w:t xml:space="preserve">) sont figés en lecture seule pour protéger l’historique. Ils ne sont modifiables que si le statut est </w:t>
      </w:r>
      <w:r>
        <w:rPr>
          <w:rFonts w:ascii="Baskerville" w:hAnsi="Baskerville"/>
          <w:b/>
          <w:bCs/>
          <w:color w:val="000000" w:themeColor="text1"/>
        </w:rPr>
        <w:t>‘En création’</w:t>
      </w:r>
      <w:r>
        <w:rPr>
          <w:rFonts w:ascii="Baskerville" w:hAnsi="Baskerville"/>
          <w:color w:val="000000" w:themeColor="text1"/>
        </w:rPr>
        <w:t>.</w:t>
      </w:r>
    </w:p>
    <w:p w14:paraId="10000008" w14:textId="77777777" w:rsidR="000703CD" w:rsidRDefault="000703CD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4/ Évolution Article</w:t>
      </w:r>
    </w:p>
    <w:p w14:paraId="10000009" w14:textId="77777777" w:rsidR="000703CD" w:rsidRDefault="000703CD">
      <w:pPr>
        <w:spacing w:after="2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 xml:space="preserve">Pour faire évoluer un article, il faut </w:t>
      </w:r>
      <w:r>
        <w:rPr>
          <w:rFonts w:ascii="Baskerville" w:hAnsi="Baskerville"/>
          <w:b/>
          <w:bCs/>
          <w:color w:val="000000" w:themeColor="text1"/>
        </w:rPr>
        <w:t>créer une nouvelle fiche</w:t>
      </w:r>
      <w:r>
        <w:rPr>
          <w:rFonts w:ascii="Baskerville" w:hAnsi="Baskerville"/>
          <w:color w:val="000000" w:themeColor="text1"/>
        </w:rPr>
        <w:t xml:space="preserve"> (nouvelle version), épuiser l’ancien stock jusqu’à 0, puis </w:t>
      </w:r>
      <w:r>
        <w:rPr>
          <w:rFonts w:ascii="Baskerville" w:hAnsi="Baskerville"/>
          <w:b/>
          <w:bCs/>
          <w:color w:val="000000" w:themeColor="text1"/>
        </w:rPr>
        <w:t>archiver l’ancienne fiche</w:t>
      </w:r>
      <w:r>
        <w:rPr>
          <w:rFonts w:ascii="Baskerville" w:hAnsi="Baskerville"/>
          <w:color w:val="000000" w:themeColor="text1"/>
        </w:rPr>
        <w:t>.</w:t>
      </w:r>
    </w:p>
    <w:p w14:paraId="20000001" w14:textId="77777777" w:rsidR="000703CD" w:rsidRDefault="000703CD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Manuel des Procédures : Achats, Réceptions &amp; Inventaires</w:t>
      </w:r>
    </w:p>
    <w:p w14:paraId="20000002" w14:textId="77777777" w:rsidR="000703CD" w:rsidRDefault="000703CD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1/ Gestion des Approvisionnements</w:t>
      </w:r>
    </w:p>
    <w:p w14:paraId="20000003" w14:textId="77777777" w:rsidR="000703CD" w:rsidRDefault="000703CD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 xml:space="preserve">Pour créer une pièce, l’utilisateur clique sur le bouton bleu </w:t>
      </w:r>
      <w:r>
        <w:rPr>
          <w:rFonts w:ascii="Baskerville" w:hAnsi="Baskerville"/>
          <w:b/>
          <w:bCs/>
          <w:color w:val="000000" w:themeColor="text1"/>
        </w:rPr>
        <w:t>[+ Nouvelle commande]</w:t>
      </w:r>
      <w:r>
        <w:rPr>
          <w:rFonts w:ascii="Baskerville" w:hAnsi="Baskerville"/>
          <w:color w:val="000000" w:themeColor="text1"/>
        </w:rPr>
        <w:t>.</w:t>
      </w:r>
    </w:p>
    <w:p w14:paraId="20000004" w14:textId="77777777" w:rsidR="000703CD" w:rsidRDefault="000703CD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 xml:space="preserve">BC (Bon de Commande)</w:t>
      </w:r>
      <w:r>
        <w:rPr>
          <w:rFonts w:ascii="Baskerville" w:hAnsi="Baskerville"/>
          <w:color w:val="000000" w:themeColor="text1"/>
        </w:rPr>
        <w:t xml:space="preserve"> : Type bleu </w:t>
      </w:r>
      <w:r>
        <w:rPr>
          <w:rFonts w:ascii="Baskerville" w:hAnsi="Baskerville"/>
          <w:b/>
          <w:bCs/>
          <w:color w:val="000000" w:themeColor="text1"/>
        </w:rPr>
        <w:t>[BC]</w:t>
      </w:r>
      <w:r>
        <w:rPr>
          <w:rFonts w:ascii="Baskerville" w:hAnsi="Baskerville"/>
          <w:color w:val="000000" w:themeColor="text1"/>
        </w:rPr>
        <w:t xml:space="preserve"> utilisé pour les fournisseurs formels (ex : Bocaux &amp; Fils). Généré suite aux suggestions MRP.</w:t>
      </w:r>
    </w:p>
    <w:p w14:paraId="20000005" w14:textId="77777777" w:rsidR="000703CD" w:rsidRDefault="000703CD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 xml:space="preserve">BA (Bon d’Achat)</w:t>
      </w:r>
      <w:r>
        <w:rPr>
          <w:rFonts w:ascii="Baskerville" w:hAnsi="Baskerville"/>
          <w:color w:val="000000" w:themeColor="text1"/>
        </w:rPr>
        <w:t xml:space="preserve"> : Type orange </w:t>
      </w:r>
      <w:r>
        <w:rPr>
          <w:rFonts w:ascii="Baskerville" w:hAnsi="Baskerville"/>
          <w:b/>
          <w:bCs/>
          <w:color w:val="000000" w:themeColor="text1"/>
        </w:rPr>
        <w:t>[BA]</w:t>
      </w:r>
      <w:r>
        <w:rPr>
          <w:rFonts w:ascii="Baskerville" w:hAnsi="Baskerville"/>
          <w:color w:val="000000" w:themeColor="text1"/>
        </w:rPr>
        <w:t xml:space="preserve"> utilisé pour les achats spots ou collectes terrain (ex : Maman ABT, Kodjo Bouteille).</w:t>
      </w:r>
    </w:p>
    <w:p w14:paraId="20000006" w14:textId="77777777" w:rsidR="000703CD" w:rsidRDefault="000703CD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2/ Réception et Entrée en Stock</w:t>
      </w:r>
    </w:p>
    <w:p w14:paraId="20000007" w14:textId="77777777" w:rsidR="000703CD" w:rsidRDefault="000703CD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 xml:space="preserve">Depuis l’écran “Réception”, chaque entrée génère un numéro unique (ex : REC-2026-0009) lié au BA/BC d’origine.</w:t>
      </w:r>
    </w:p>
    <w:p w14:paraId="20000008" w14:textId="77777777" w:rsidR="000703CD" w:rsidRDefault="000703CD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 xml:space="preserve">Le statut du document passe par les badges </w:t>
      </w:r>
      <w:r>
        <w:rPr>
          <w:rFonts w:ascii="Baskerville" w:hAnsi="Baskerville"/>
          <w:b/>
          <w:bCs/>
          <w:color w:val="000000" w:themeColor="text1"/>
        </w:rPr>
        <w:t>[Brouillon]</w:t>
      </w:r>
      <w:r>
        <w:rPr>
          <w:rFonts w:ascii="Baskerville" w:hAnsi="Baskerville"/>
          <w:color w:val="000000" w:themeColor="text1"/>
        </w:rPr>
        <w:t xml:space="preserve">, </w:t>
      </w:r>
      <w:r>
        <w:rPr>
          <w:rFonts w:ascii="Baskerville" w:hAnsi="Baskerville"/>
          <w:b/>
          <w:bCs/>
          <w:color w:val="000000" w:themeColor="text1"/>
        </w:rPr>
        <w:t>[Partielle]</w:t>
      </w:r>
      <w:r>
        <w:rPr>
          <w:rFonts w:ascii="Baskerville" w:hAnsi="Baskerville"/>
          <w:color w:val="000000" w:themeColor="text1"/>
        </w:rPr>
        <w:t xml:space="preserve">, ou </w:t>
      </w:r>
      <w:r>
        <w:rPr>
          <w:rFonts w:ascii="Baskerville" w:hAnsi="Baskerville"/>
          <w:b/>
          <w:bCs/>
          <w:color w:val="000000" w:themeColor="text1"/>
        </w:rPr>
        <w:t>[Reçue]</w:t>
      </w:r>
      <w:r>
        <w:rPr>
          <w:rFonts w:ascii="Baskerville" w:hAnsi="Baskerville"/>
          <w:color w:val="000000" w:themeColor="text1"/>
        </w:rPr>
        <w:t>.</w:t>
      </w:r>
    </w:p>
    <w:p w14:paraId="20000009" w14:textId="77777777" w:rsidR="000703CD" w:rsidRDefault="000703CD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 xml:space="preserve">À la validation, un lot est créé. Si la Fiche Article exige un contrôle, le badge ‘Statut QC’ passe d’office à orange </w:t>
      </w:r>
      <w:r>
        <w:rPr>
          <w:rFonts w:ascii="Baskerville" w:hAnsi="Baskerville"/>
          <w:b/>
          <w:bCs/>
          <w:color w:val="000000" w:themeColor="text1"/>
        </w:rPr>
        <w:t>[En contrôle]</w:t>
      </w:r>
      <w:r>
        <w:rPr>
          <w:rFonts w:ascii="Baskerville" w:hAnsi="Baskerville"/>
          <w:color w:val="000000" w:themeColor="text1"/>
        </w:rPr>
        <w:t xml:space="preserve"> et l’état à </w:t>
      </w:r>
      <w:r>
        <w:rPr>
          <w:rFonts w:ascii="Baskerville" w:hAnsi="Baskerville"/>
          <w:b/>
          <w:bCs/>
          <w:color w:val="000000" w:themeColor="text1"/>
        </w:rPr>
        <w:t>[Quarantaine]</w:t>
      </w:r>
      <w:r>
        <w:rPr>
          <w:rFonts w:ascii="Baskerville" w:hAnsi="Baskerville"/>
          <w:color w:val="000000" w:themeColor="text1"/>
        </w:rPr>
        <w:t xml:space="preserve"> (bloqué pour la production et les ventes). Sinon, le badge passe au vert </w:t>
      </w:r>
      <w:r>
        <w:rPr>
          <w:rFonts w:ascii="Baskerville" w:hAnsi="Baskerville"/>
          <w:b/>
          <w:bCs/>
          <w:color w:val="000000" w:themeColor="text1"/>
        </w:rPr>
        <w:t>[Disponible]</w:t>
      </w:r>
      <w:r>
        <w:rPr>
          <w:rFonts w:ascii="Baskerville" w:hAnsi="Baskerville"/>
          <w:color w:val="000000" w:themeColor="text1"/>
        </w:rPr>
        <w:t>.</w:t>
      </w:r>
    </w:p>
    <w:p w14:paraId="20000010" w14:textId="77777777" w:rsidR="000703CD" w:rsidRDefault="000703CD">
      <w:pPr>
        <w:shd w:val="clear" w:color="auto" w:fill="FFF8E1"/>
        <w:spacing w:before="80" w:after="160"/>
        <w:ind w:left="280" w:right="280"/>
        <w:rPr>
          <w:rFonts w:ascii="Baskerville" w:hAnsi="Baskerville"/>
          <w:i/>
          <w:iCs/>
          <w:color w:val="000000" w:themeColor="text1"/>
          <w:sz w:val="20"/>
          <w:szCs w:val="20"/>
        </w:rPr>
      </w:pP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📷  [INSÉRER CAPTURE : Statut QC En contrôle vs État Disponible]</w:t>
      </w:r>
    </w:p>
    <w:p w14:paraId="20000011" w14:textId="77777777" w:rsidR="000703CD" w:rsidRDefault="000703CD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3/ Modules des Inventaires</w:t>
      </w:r>
    </w:p>
    <w:p w14:paraId="20000012" w14:textId="77777777" w:rsidR="000703CD" w:rsidRDefault="000703CD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Permet de redresser le stock physique. Le document d’inventaire fige le stock théorique.</w:t>
      </w:r>
    </w:p>
    <w:p w14:paraId="20000013" w14:textId="77777777" w:rsidR="000703CD" w:rsidRDefault="000703CD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L’opérateur saisit le réel, et l’ERP calcule et applique les écarts de quantité automatiquement après validation avec une traçabilité totale.</w:t>
      </w:r>
    </w:p>
    <w:p w14:paraId="20000014" w14:textId="77777777" w:rsidR="000703CD" w:rsidRDefault="000703CD">
      <w:pPr>
        <w:shd w:val="clear" w:color="auto" w:fill="FFF8E1"/>
        <w:spacing w:before="80" w:after="280"/>
        <w:ind w:left="280" w:right="280"/>
        <w:rPr>
          <w:rFonts w:ascii="Baskerville" w:hAnsi="Baskerville"/>
          <w:i/>
          <w:iCs/>
          <w:color w:val="000000" w:themeColor="text1"/>
          <w:sz w:val="20"/>
          <w:szCs w:val="20"/>
        </w:rPr>
      </w:pP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📷  [INSÉRER CAPTURE : Écran de saisie d’un inventaire]</w:t>
      </w:r>
    </w:p>
    <w:p w14:paraId="7719F6D2" w14:textId="77777777" w:rsidR="000703CD" w:rsidRPr="00786D00" w:rsidRDefault="000703CD">
      <w:pPr>
        <w:spacing w:before="600"/>
        <w:rPr>
          <w:rFonts w:ascii="Baskerville" w:hAnsi="Baskerville"/>
          <w:color w:val="000000" w:themeColor="text1"/>
        </w:rPr>
      </w:pPr>
    </w:p>
    <w:p w14:paraId="3A1ECA0E" w14:textId="77777777" w:rsidR="000703CD" w:rsidRPr="00786D00" w:rsidRDefault="00000000">
      <w:pPr>
        <w:pBdr>
          <w:top w:val="single" w:sz="2" w:space="8" w:color="E5E7EB"/>
        </w:pBdr>
        <w:spacing w:before="12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  <w:sz w:val="18"/>
          <w:szCs w:val="18"/>
        </w:rPr>
        <w:t>app.bluwa.com  ·  Version 1.1  ·  Juin 2026</w:t>
      </w:r>
    </w:p>
    <w:sectPr w:rsidR="000703CD" w:rsidRPr="00786D00">
      <w:headerReference w:type="default" r:id="rId16"/>
      <w:footerReference w:type="default" r:id="rId1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772DB" w14:textId="77777777" w:rsidR="00A0200E" w:rsidRDefault="00A0200E">
      <w:r>
        <w:separator/>
      </w:r>
    </w:p>
  </w:endnote>
  <w:endnote w:type="continuationSeparator" w:id="0">
    <w:p w14:paraId="36C0F8D3" w14:textId="77777777" w:rsidR="00A0200E" w:rsidRDefault="00A020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">
    <w:panose1 w:val="02020502070401020303"/>
    <w:charset w:val="00"/>
    <w:family w:val="roman"/>
    <w:pitch w:val="variable"/>
    <w:sig w:usb0="80000067" w:usb1="02000000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64B97" w14:textId="77777777" w:rsidR="000703CD" w:rsidRPr="002A0D61" w:rsidRDefault="002A0D61">
    <w:pPr>
      <w:pBdr>
        <w:top w:val="single" w:sz="2" w:space="4" w:color="E5E7EB"/>
      </w:pBdr>
      <w:tabs>
        <w:tab w:val="right" w:pos="9026"/>
      </w:tabs>
      <w:rPr>
        <w:lang w:val="en-US"/>
      </w:rPr>
    </w:pPr>
    <w:hyperlink r:id="rId1" w:history="1">
      <w:r w:rsidRPr="00BA30A7">
        <w:rPr>
          <w:rStyle w:val="Lienhypertexte"/>
          <w:sz w:val="17"/>
          <w:szCs w:val="17"/>
        </w:rPr>
        <w:t>https://bluwa.io/fr</w:t>
      </w:r>
    </w:hyperlink>
    <w:r>
      <w:rPr>
        <w:sz w:val="17"/>
        <w:szCs w:val="17"/>
      </w:rPr>
      <w:t xml:space="preserve">  </w:t>
    </w:r>
    <w:r w:rsidRPr="002A0D61">
      <w:rPr>
        <w:color w:val="999999"/>
        <w:sz w:val="17"/>
        <w:szCs w:val="17"/>
        <w:lang w:val="en-US"/>
      </w:rPr>
      <w:t>john@bluwa.io</w:t>
    </w:r>
    <w:r w:rsidRPr="002A0D61">
      <w:rPr>
        <w:sz w:val="17"/>
        <w:szCs w:val="17"/>
        <w:lang w:val="en-US"/>
      </w:rPr>
      <w:tab/>
      <w:t xml:space="preserve">Page </w:t>
    </w:r>
    <w:r>
      <w:rPr>
        <w:sz w:val="17"/>
        <w:szCs w:val="17"/>
      </w:rPr>
      <w:fldChar w:fldCharType="begin"/>
    </w:r>
    <w:r w:rsidRPr="002A0D61">
      <w:rPr>
        <w:sz w:val="17"/>
        <w:szCs w:val="17"/>
        <w:lang w:val="en-US"/>
      </w:rPr>
      <w:instrText>PAGE</w:instrText>
    </w:r>
    <w:r>
      <w:rPr>
        <w:sz w:val="17"/>
        <w:szCs w:val="17"/>
      </w:rPr>
      <w:fldChar w:fldCharType="separate"/>
    </w:r>
    <w:r w:rsidR="00786D00" w:rsidRPr="002A0D61">
      <w:rPr>
        <w:noProof/>
        <w:sz w:val="17"/>
        <w:szCs w:val="17"/>
        <w:lang w:val="en-US"/>
      </w:rPr>
      <w:t>1</w:t>
    </w:r>
    <w:r>
      <w:rPr>
        <w:sz w:val="17"/>
        <w:szCs w:val="17"/>
      </w:rPr>
      <w:fldChar w:fldCharType="end"/>
    </w:r>
    <w:r w:rsidRPr="002A0D61">
      <w:rPr>
        <w:sz w:val="17"/>
        <w:szCs w:val="17"/>
        <w:lang w:val="en-US"/>
      </w:rPr>
      <w:t xml:space="preserve"> / </w:t>
    </w:r>
    <w:r>
      <w:rPr>
        <w:sz w:val="17"/>
        <w:szCs w:val="17"/>
      </w:rPr>
      <w:fldChar w:fldCharType="begin"/>
    </w:r>
    <w:r w:rsidRPr="002A0D61">
      <w:rPr>
        <w:sz w:val="17"/>
        <w:szCs w:val="17"/>
        <w:lang w:val="en-US"/>
      </w:rPr>
      <w:instrText>NUMPAGES</w:instrText>
    </w:r>
    <w:r>
      <w:rPr>
        <w:sz w:val="17"/>
        <w:szCs w:val="17"/>
      </w:rPr>
      <w:fldChar w:fldCharType="separate"/>
    </w:r>
    <w:r w:rsidR="00786D00" w:rsidRPr="002A0D61">
      <w:rPr>
        <w:noProof/>
        <w:sz w:val="17"/>
        <w:szCs w:val="17"/>
        <w:lang w:val="en-US"/>
      </w:rPr>
      <w:t>2</w:t>
    </w:r>
    <w:r>
      <w:rPr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E514F" w14:textId="77777777" w:rsidR="00A0200E" w:rsidRDefault="00A0200E">
      <w:r>
        <w:separator/>
      </w:r>
    </w:p>
  </w:footnote>
  <w:footnote w:type="continuationSeparator" w:id="0">
    <w:p w14:paraId="0887694F" w14:textId="77777777" w:rsidR="00A0200E" w:rsidRDefault="00A020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2F3F9" w14:textId="77777777" w:rsidR="000703CD" w:rsidRPr="003F53BF" w:rsidRDefault="00000000">
    <w:pPr>
      <w:pBdr>
        <w:bottom w:val="single" w:sz="4" w:space="4" w:color="1B4BFF"/>
      </w:pBdr>
      <w:tabs>
        <w:tab w:val="right" w:pos="9026"/>
      </w:tabs>
      <w:rPr>
        <w:rFonts w:ascii="Baskerville" w:hAnsi="Baskerville"/>
      </w:rPr>
    </w:pPr>
    <w:r w:rsidRPr="003F53BF">
      <w:rPr>
        <w:rFonts w:ascii="Baskerville" w:hAnsi="Baskerville"/>
        <w:noProof/>
      </w:rPr>
      <w:drawing>
        <wp:inline distT="0" distB="0" distL="0" distR="0" wp14:anchorId="661401E2" wp14:editId="289935D6">
          <wp:extent cx="190500" cy="228600"/>
          <wp:effectExtent l="0" t="0" r="0" b="0"/>
          <wp:docPr id="194917613" name="Logo" descr="Logo Bluwa" title="Bluw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3F53BF">
      <w:rPr>
        <w:rFonts w:ascii="Baskerville" w:hAnsi="Baskerville"/>
        <w:b/>
        <w:bCs/>
        <w:color w:val="1B4BFF"/>
        <w:sz w:val="18"/>
        <w:szCs w:val="18"/>
      </w:rPr>
      <w:t xml:space="preserve">  Bluwa ERP</w:t>
    </w:r>
    <w:r w:rsidRPr="003F53BF">
      <w:rPr>
        <w:rFonts w:ascii="Baskerville" w:hAnsi="Baskerville"/>
        <w:sz w:val="18"/>
        <w:szCs w:val="18"/>
      </w:rPr>
      <w:tab/>
    </w:r>
    <w:r w:rsidRPr="003F53BF">
      <w:rPr>
        <w:rFonts w:ascii="Baskerville" w:hAnsi="Baskerville"/>
        <w:sz w:val="17"/>
        <w:szCs w:val="17"/>
      </w:rPr>
      <w:t>Guide de démarrage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4656C"/>
    <w:multiLevelType w:val="hybridMultilevel"/>
    <w:tmpl w:val="D9D422C6"/>
    <w:lvl w:ilvl="0" w:tplc="4A8E99AE">
      <w:start w:val="1"/>
      <w:numFmt w:val="bullet"/>
      <w:lvlText w:val="●"/>
      <w:lvlJc w:val="left"/>
      <w:pPr>
        <w:ind w:left="720" w:hanging="360"/>
      </w:pPr>
    </w:lvl>
    <w:lvl w:ilvl="1" w:tplc="12B405E8">
      <w:start w:val="1"/>
      <w:numFmt w:val="bullet"/>
      <w:lvlText w:val="○"/>
      <w:lvlJc w:val="left"/>
      <w:pPr>
        <w:ind w:left="1440" w:hanging="360"/>
      </w:pPr>
    </w:lvl>
    <w:lvl w:ilvl="2" w:tplc="D486DA8C">
      <w:start w:val="1"/>
      <w:numFmt w:val="bullet"/>
      <w:lvlText w:val="■"/>
      <w:lvlJc w:val="left"/>
      <w:pPr>
        <w:ind w:left="2160" w:hanging="360"/>
      </w:pPr>
    </w:lvl>
    <w:lvl w:ilvl="3" w:tplc="DA30ED1C">
      <w:start w:val="1"/>
      <w:numFmt w:val="bullet"/>
      <w:lvlText w:val="●"/>
      <w:lvlJc w:val="left"/>
      <w:pPr>
        <w:ind w:left="2880" w:hanging="360"/>
      </w:pPr>
    </w:lvl>
    <w:lvl w:ilvl="4" w:tplc="DCD0C706">
      <w:start w:val="1"/>
      <w:numFmt w:val="bullet"/>
      <w:lvlText w:val="○"/>
      <w:lvlJc w:val="left"/>
      <w:pPr>
        <w:ind w:left="3600" w:hanging="360"/>
      </w:pPr>
    </w:lvl>
    <w:lvl w:ilvl="5" w:tplc="AC026E82">
      <w:start w:val="1"/>
      <w:numFmt w:val="bullet"/>
      <w:lvlText w:val="■"/>
      <w:lvlJc w:val="left"/>
      <w:pPr>
        <w:ind w:left="4320" w:hanging="360"/>
      </w:pPr>
    </w:lvl>
    <w:lvl w:ilvl="6" w:tplc="F58CC1D0">
      <w:start w:val="1"/>
      <w:numFmt w:val="bullet"/>
      <w:lvlText w:val="●"/>
      <w:lvlJc w:val="left"/>
      <w:pPr>
        <w:ind w:left="5040" w:hanging="360"/>
      </w:pPr>
    </w:lvl>
    <w:lvl w:ilvl="7" w:tplc="C870F95E">
      <w:start w:val="1"/>
      <w:numFmt w:val="bullet"/>
      <w:lvlText w:val="●"/>
      <w:lvlJc w:val="left"/>
      <w:pPr>
        <w:ind w:left="5760" w:hanging="360"/>
      </w:pPr>
    </w:lvl>
    <w:lvl w:ilvl="8" w:tplc="1BE204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6B68A8"/>
    <w:multiLevelType w:val="hybridMultilevel"/>
    <w:tmpl w:val="82B860A8"/>
    <w:lvl w:ilvl="0" w:tplc="9582247C">
      <w:start w:val="1"/>
      <w:numFmt w:val="bullet"/>
      <w:lvlText w:val="•"/>
      <w:lvlJc w:val="left"/>
      <w:pPr>
        <w:ind w:left="480" w:hanging="240"/>
      </w:pPr>
    </w:lvl>
    <w:lvl w:ilvl="1" w:tplc="0EB8F9DC">
      <w:numFmt w:val="decimal"/>
      <w:lvlText w:val=""/>
      <w:lvlJc w:val="left"/>
    </w:lvl>
    <w:lvl w:ilvl="2" w:tplc="36769F24">
      <w:numFmt w:val="decimal"/>
      <w:lvlText w:val=""/>
      <w:lvlJc w:val="left"/>
    </w:lvl>
    <w:lvl w:ilvl="3" w:tplc="BDBEB9DA">
      <w:numFmt w:val="decimal"/>
      <w:lvlText w:val=""/>
      <w:lvlJc w:val="left"/>
    </w:lvl>
    <w:lvl w:ilvl="4" w:tplc="82D24426">
      <w:numFmt w:val="decimal"/>
      <w:lvlText w:val=""/>
      <w:lvlJc w:val="left"/>
    </w:lvl>
    <w:lvl w:ilvl="5" w:tplc="DEDAFD92">
      <w:numFmt w:val="decimal"/>
      <w:lvlText w:val=""/>
      <w:lvlJc w:val="left"/>
    </w:lvl>
    <w:lvl w:ilvl="6" w:tplc="882EB942">
      <w:numFmt w:val="decimal"/>
      <w:lvlText w:val=""/>
      <w:lvlJc w:val="left"/>
    </w:lvl>
    <w:lvl w:ilvl="7" w:tplc="A5E8474E">
      <w:numFmt w:val="decimal"/>
      <w:lvlText w:val=""/>
      <w:lvlJc w:val="left"/>
    </w:lvl>
    <w:lvl w:ilvl="8" w:tplc="D4928F1A">
      <w:numFmt w:val="decimal"/>
      <w:lvlText w:val=""/>
      <w:lvlJc w:val="left"/>
    </w:lvl>
  </w:abstractNum>
  <w:num w:numId="1" w16cid:durableId="703864930">
    <w:abstractNumId w:val="0"/>
    <w:lvlOverride w:ilvl="0">
      <w:startOverride w:val="1"/>
    </w:lvlOverride>
  </w:num>
  <w:num w:numId="2" w16cid:durableId="3230489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3CD"/>
    <w:rsid w:val="00021058"/>
    <w:rsid w:val="00064A5A"/>
    <w:rsid w:val="000703CD"/>
    <w:rsid w:val="002A0D61"/>
    <w:rsid w:val="003C1B5F"/>
    <w:rsid w:val="003F53BF"/>
    <w:rsid w:val="00500EE5"/>
    <w:rsid w:val="005858BC"/>
    <w:rsid w:val="00786D00"/>
    <w:rsid w:val="007A4AE1"/>
    <w:rsid w:val="00973D65"/>
    <w:rsid w:val="00A0200E"/>
    <w:rsid w:val="00B24B15"/>
    <w:rsid w:val="00C969F1"/>
    <w:rsid w:val="00E20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9BBD71A"/>
  <w15:docId w15:val="{7D530B8B-42B4-5541-8DF9-DA221AEF0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555555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20"/>
      <w:outlineLvl w:val="0"/>
    </w:pPr>
    <w:rPr>
      <w:b/>
      <w:bCs/>
      <w:color w:val="1A1A1A"/>
      <w:sz w:val="36"/>
      <w:szCs w:val="36"/>
    </w:rPr>
  </w:style>
  <w:style w:type="paragraph" w:styleId="Titre2">
    <w:name w:val="heading 2"/>
    <w:uiPriority w:val="9"/>
    <w:unhideWhenUsed/>
    <w:qFormat/>
    <w:pPr>
      <w:spacing w:before="280" w:after="80"/>
      <w:outlineLvl w:val="1"/>
    </w:pPr>
    <w:rPr>
      <w:b/>
      <w:bCs/>
      <w:color w:val="1B4BFF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3F53B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3F53BF"/>
  </w:style>
  <w:style w:type="paragraph" w:styleId="Pieddepage">
    <w:name w:val="footer"/>
    <w:basedOn w:val="Normal"/>
    <w:link w:val="PieddepageCar"/>
    <w:uiPriority w:val="99"/>
    <w:unhideWhenUsed/>
    <w:rsid w:val="003F53B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3F53BF"/>
  </w:style>
  <w:style w:type="character" w:styleId="Mentionnonrsolue">
    <w:name w:val="Unresolved Mention"/>
    <w:basedOn w:val="Policepardfaut"/>
    <w:uiPriority w:val="99"/>
    <w:semiHidden/>
    <w:unhideWhenUsed/>
    <w:rsid w:val="002A0D61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2A0D6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hyperlink" Target="https://bluwa.io/fr" TargetMode="Externa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877</Words>
  <Characters>4824</Characters>
  <Application>Microsoft Office Word</Application>
  <DocSecurity>0</DocSecurity>
  <Lines>40</Lines>
  <Paragraphs>11</Paragraphs>
  <ScaleCrop>false</ScaleCrop>
  <Company/>
  <LinksUpToDate>false</LinksUpToDate>
  <CharactersWithSpaces>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John O. OKOYE</cp:lastModifiedBy>
  <cp:revision>9</cp:revision>
  <dcterms:created xsi:type="dcterms:W3CDTF">2026-06-06T14:44:00Z</dcterms:created>
  <dcterms:modified xsi:type="dcterms:W3CDTF">2026-06-10T09:14:00Z</dcterms:modified>
</cp:coreProperties>
</file>