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Lab 3 – Architecture Selection &amp; Written Justification</w:t>
      </w:r>
    </w:p>
    <w:p>
      <w:pPr>
        <w:jc w:val="center"/>
      </w:pPr>
      <w:r>
        <w:rPr>
          <w:sz w:val="18"/>
        </w:rPr>
        <w:t>B M Harshith Kumar | PES1UG24AM349 | 5 F AI &amp; ML</w:t>
      </w:r>
    </w:p>
    <w:p>
      <w:pPr>
        <w:spacing w:before="80" w:after="40"/>
      </w:pPr>
      <w:r>
        <w:rPr>
          <w:b/>
          <w:sz w:val="21"/>
        </w:rPr>
        <w:t>Architecture Selection</w:t>
      </w:r>
    </w:p>
    <w:p>
      <w:pPr>
        <w:spacing w:after="60" w:line="240" w:lineRule="auto"/>
      </w:pPr>
      <w:r>
        <w:rPr>
          <w:sz w:val="19"/>
        </w:rPr>
        <w:t>We chose Microservices Architecture for the Webhook Ingestion &amp; Retry Mechanism Hub.</w:t>
      </w:r>
    </w:p>
    <w:p>
      <w:pPr>
        <w:spacing w:before="80" w:after="40"/>
      </w:pPr>
      <w:r>
        <w:rPr>
          <w:b/>
          <w:sz w:val="21"/>
        </w:rPr>
        <w:t>Architectural Choice</w:t>
      </w:r>
    </w:p>
    <w:p>
      <w:pPr>
        <w:spacing w:after="60" w:line="240" w:lineRule="auto"/>
      </w:pPr>
      <w:r>
        <w:rPr>
          <w:sz w:val="19"/>
        </w:rPr>
        <w:t>The system is decomposed into independently deployable services for webhook ingestion, authentication, delivery, retry management, configuration, dead-letter handling, and logging/monitoring. This matches the Lab 1/2 scenario, which requires resilient webhook ingestion, delivery, retries, dead-letter handling, configuration, and monitoring.</w:t>
      </w:r>
    </w:p>
    <w:p>
      <w:pPr>
        <w:spacing w:before="80" w:after="40"/>
      </w:pPr>
      <w:r>
        <w:rPr>
          <w:b/>
          <w:sz w:val="21"/>
        </w:rPr>
        <w:t>Two Reasons</w:t>
      </w:r>
    </w:p>
    <w:p>
      <w:pPr>
        <w:spacing w:after="60" w:line="240" w:lineRule="auto"/>
      </w:pPr>
      <w:r>
        <w:rPr>
          <w:sz w:val="19"/>
        </w:rPr>
        <w:t>1. Scalability and throughput: The ingestion endpoint must support up to 2,500 requests/second with 99.999% reliability. Microservices allow high-load services such as ingestion and delivery to be scaled independently.</w:t>
      </w:r>
    </w:p>
    <w:p>
      <w:pPr>
        <w:spacing w:after="60" w:line="240" w:lineRule="auto"/>
      </w:pPr>
      <w:r>
        <w:rPr>
          <w:sz w:val="19"/>
        </w:rPr>
        <w:t>2. Fault isolation and resilience: Delivery failures can be isolated to the delivery/retry path. Retry handling and the dead-letter queue can continue operating without making the whole gateway unavailable. This directly supports the required 1s, 2s, 4s, and 8s exponential backoff and dead-letter behaviour.</w:t>
      </w:r>
    </w:p>
    <w:p>
      <w:pPr>
        <w:spacing w:before="80" w:after="40"/>
      </w:pPr>
      <w:r>
        <w:rPr>
          <w:b/>
          <w:sz w:val="21"/>
        </w:rPr>
        <w:t>Security Advantage</w:t>
      </w:r>
    </w:p>
    <w:p>
      <w:pPr>
        <w:spacing w:after="60" w:line="240" w:lineRule="auto"/>
      </w:pPr>
      <w:r>
        <w:rPr>
          <w:sz w:val="19"/>
        </w:rPr>
        <w:t>A dedicated Authentication Service can validate inbound webhook signatures or tokens before events enter the processing pipeline. Requests that fail authentication can therefore be rejected early, addressing the requirement to prevent unauthorized event injection.</w:t>
      </w:r>
    </w:p>
    <w:p>
      <w:pPr>
        <w:spacing w:before="80" w:after="40"/>
      </w:pPr>
      <w:r>
        <w:rPr>
          <w:b/>
          <w:sz w:val="21"/>
        </w:rPr>
        <w:t>Performance Benefit</w:t>
      </w:r>
    </w:p>
    <w:p>
      <w:pPr>
        <w:spacing w:after="60" w:line="240" w:lineRule="auto"/>
      </w:pPr>
      <w:r>
        <w:rPr>
          <w:sz w:val="19"/>
        </w:rPr>
        <w:t>Independent scaling and asynchronous buffering reduce contention in the ingestion path. The ingestion service can accept and buffer high-volume events while delivery and retry processing operate independently, helping the system sustain the required 2,500 requests/second throughput.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