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Votic icon test</w:t>
      </w:r>
    </w:p>
    <w:bookmarkStart w:id="20" w:name="votic-icon-test"/>
    <w:p>
      <w:pPr>
        <w:pStyle w:val="Heading1"/>
      </w:pPr>
      <w:r>
        <w:t xml:space="preserve">Votic icon test</w:t>
      </w:r>
    </w:p>
    <w:p>
      <w:pPr>
        <w:pStyle w:val="FirstParagraph"/>
      </w:pPr>
      <w:r>
        <w:t xml:space="preserve">This sample document checks that Votic shows the right file-type icon and colour. It has a few sentences so Votic can read it aloud.</w:t>
      </w:r>
    </w:p>
    <w:p>
      <w:pPr>
        <w:pStyle w:val="BodyText"/>
      </w:pPr>
      <w:r>
        <w:t xml:space="preserve">The quick brown fox jumps over the lazy dog. Braille was invented by Louis Braille in the nineteenth century.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Votic icon test</dc:title>
  <dc:creator/>
  <cp:keywords/>
  <dcterms:created xsi:type="dcterms:W3CDTF">2026-10-18T15:56:02Z</dcterms:created>
  <dcterms:modified xsi:type="dcterms:W3CDTF">2026-10-18T15:56:02Z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