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37382" w14:textId="77777777" w:rsidR="00893F49" w:rsidRPr="00893F49" w:rsidRDefault="00893F49" w:rsidP="00B32159">
      <w:pPr>
        <w:numPr>
          <w:ilvl w:val="0"/>
          <w:numId w:val="1"/>
        </w:numPr>
        <w:spacing w:before="100" w:beforeAutospacing="1" w:after="0" w:line="240" w:lineRule="auto"/>
        <w:rPr>
          <w:rFonts w:eastAsia="Times New Roman" w:cstheme="minorHAnsi"/>
          <w:sz w:val="20"/>
          <w:szCs w:val="20"/>
        </w:rPr>
      </w:pPr>
      <w:r w:rsidRPr="00893F49">
        <w:rPr>
          <w:rFonts w:eastAsia="Times New Roman" w:cstheme="minorHAnsi"/>
          <w:sz w:val="20"/>
          <w:szCs w:val="20"/>
        </w:rPr>
        <w:t>Given the provided data, what are three conclusions we can draw about Kickstarter campaigns?</w:t>
      </w:r>
    </w:p>
    <w:p w14:paraId="2245A290" w14:textId="4217B243" w:rsidR="00893F49" w:rsidRPr="005666C1" w:rsidRDefault="00A61EE1" w:rsidP="00B32159">
      <w:pPr>
        <w:spacing w:before="100" w:beforeAutospacing="1" w:after="0" w:line="240" w:lineRule="auto"/>
        <w:ind w:left="720"/>
        <w:rPr>
          <w:rFonts w:eastAsia="Times New Roman" w:cstheme="minorHAnsi"/>
          <w:color w:val="002060"/>
          <w:sz w:val="20"/>
          <w:szCs w:val="20"/>
        </w:rPr>
      </w:pPr>
      <w:r w:rsidRPr="005666C1">
        <w:rPr>
          <w:rFonts w:eastAsia="Times New Roman" w:cstheme="minorHAnsi"/>
          <w:color w:val="002060"/>
          <w:sz w:val="20"/>
          <w:szCs w:val="20"/>
        </w:rPr>
        <w:t>There were three distinct conclusions about</w:t>
      </w:r>
      <w:r w:rsidR="00102B78" w:rsidRPr="005666C1">
        <w:rPr>
          <w:rFonts w:eastAsia="Times New Roman" w:cstheme="minorHAnsi"/>
          <w:color w:val="002060"/>
          <w:sz w:val="20"/>
          <w:szCs w:val="20"/>
        </w:rPr>
        <w:t xml:space="preserve"> Kickstarter campaigns </w:t>
      </w:r>
      <w:r w:rsidRPr="005666C1">
        <w:rPr>
          <w:rFonts w:eastAsia="Times New Roman" w:cstheme="minorHAnsi"/>
          <w:color w:val="002060"/>
          <w:sz w:val="20"/>
          <w:szCs w:val="20"/>
        </w:rPr>
        <w:t>based upon the data provided:</w:t>
      </w:r>
    </w:p>
    <w:p w14:paraId="4B275924" w14:textId="149D3D66" w:rsidR="00102B78" w:rsidRPr="005666C1" w:rsidRDefault="00102B78" w:rsidP="00B32159">
      <w:pPr>
        <w:pStyle w:val="ListParagraph"/>
        <w:numPr>
          <w:ilvl w:val="1"/>
          <w:numId w:val="1"/>
        </w:numPr>
        <w:spacing w:before="100" w:beforeAutospacing="1" w:after="0" w:line="240" w:lineRule="auto"/>
        <w:rPr>
          <w:rFonts w:eastAsia="Times New Roman" w:cstheme="minorHAnsi"/>
          <w:color w:val="002060"/>
          <w:sz w:val="20"/>
          <w:szCs w:val="20"/>
        </w:rPr>
      </w:pPr>
      <w:r w:rsidRPr="005666C1">
        <w:rPr>
          <w:rFonts w:eastAsia="Times New Roman" w:cstheme="minorHAnsi"/>
          <w:color w:val="002060"/>
          <w:sz w:val="20"/>
          <w:szCs w:val="20"/>
        </w:rPr>
        <w:t>Theaters were a favorite</w:t>
      </w:r>
      <w:r w:rsidR="00A61EE1" w:rsidRPr="005666C1">
        <w:rPr>
          <w:rFonts w:eastAsia="Times New Roman" w:cstheme="minorHAnsi"/>
          <w:color w:val="002060"/>
          <w:sz w:val="20"/>
          <w:szCs w:val="20"/>
        </w:rPr>
        <w:t xml:space="preserve"> among other </w:t>
      </w:r>
      <w:r w:rsidRPr="005666C1">
        <w:rPr>
          <w:rFonts w:eastAsia="Times New Roman" w:cstheme="minorHAnsi"/>
          <w:color w:val="002060"/>
          <w:sz w:val="20"/>
          <w:szCs w:val="20"/>
        </w:rPr>
        <w:t>campaigns</w:t>
      </w:r>
      <w:r w:rsidR="00A61EE1" w:rsidRPr="005666C1">
        <w:rPr>
          <w:rFonts w:eastAsia="Times New Roman" w:cstheme="minorHAnsi"/>
          <w:color w:val="002060"/>
          <w:sz w:val="20"/>
          <w:szCs w:val="20"/>
        </w:rPr>
        <w:t>, but music Kickstarter campaigns were less likely to fail than theaters.  Music had a success rate of approximately 77%, whereas theaters had a success rate of 60%.  We can also conclude that journalism campaigns are less likely gain traction, as we saw no successful campaigns.  Additionally, food and game campaigns were the highest failure rates at 70% and 64% respectively.</w:t>
      </w:r>
      <w:r w:rsidR="005E3CB9" w:rsidRPr="005666C1">
        <w:rPr>
          <w:rFonts w:eastAsia="Times New Roman" w:cstheme="minorHAnsi"/>
          <w:color w:val="002060"/>
          <w:sz w:val="20"/>
          <w:szCs w:val="20"/>
        </w:rPr>
        <w:t xml:space="preserve">  See Pivot1 worksheet.</w:t>
      </w:r>
    </w:p>
    <w:p w14:paraId="69B90743" w14:textId="232A0D12" w:rsidR="00102B78" w:rsidRPr="005666C1" w:rsidRDefault="00102B78" w:rsidP="005666C1">
      <w:pPr>
        <w:pStyle w:val="ListParagraph"/>
        <w:numPr>
          <w:ilvl w:val="1"/>
          <w:numId w:val="1"/>
        </w:numPr>
        <w:spacing w:before="100" w:beforeAutospacing="1" w:after="0" w:line="240" w:lineRule="auto"/>
        <w:rPr>
          <w:rFonts w:eastAsia="Times New Roman" w:cstheme="minorHAnsi"/>
          <w:color w:val="002060"/>
          <w:sz w:val="20"/>
          <w:szCs w:val="20"/>
        </w:rPr>
      </w:pPr>
      <w:r w:rsidRPr="005666C1">
        <w:rPr>
          <w:rFonts w:eastAsia="Times New Roman" w:cstheme="minorHAnsi"/>
          <w:color w:val="002060"/>
          <w:sz w:val="20"/>
          <w:szCs w:val="20"/>
        </w:rPr>
        <w:t xml:space="preserve">Plays, a sub-category of theater </w:t>
      </w:r>
      <w:r w:rsidR="005E3CB9" w:rsidRPr="005666C1">
        <w:rPr>
          <w:rFonts w:eastAsia="Times New Roman" w:cstheme="minorHAnsi"/>
          <w:color w:val="002060"/>
          <w:sz w:val="20"/>
          <w:szCs w:val="20"/>
        </w:rPr>
        <w:t xml:space="preserve">had the greatest number of successful campaigns across all categories.  We can also see that rock music campaigns are widely successful, where all (100%) campaigns started were successful.  </w:t>
      </w:r>
      <w:r w:rsidR="00EC592F" w:rsidRPr="005666C1">
        <w:rPr>
          <w:rFonts w:eastAsia="Times New Roman" w:cstheme="minorHAnsi"/>
          <w:color w:val="002060"/>
          <w:sz w:val="20"/>
          <w:szCs w:val="20"/>
        </w:rPr>
        <w:t>Each</w:t>
      </w:r>
      <w:r w:rsidR="005E3CB9" w:rsidRPr="005666C1">
        <w:rPr>
          <w:rFonts w:eastAsia="Times New Roman" w:cstheme="minorHAnsi"/>
          <w:color w:val="002060"/>
          <w:sz w:val="20"/>
          <w:szCs w:val="20"/>
        </w:rPr>
        <w:t xml:space="preserve"> of these points align with statements raised in the first (</w:t>
      </w:r>
      <w:proofErr w:type="spellStart"/>
      <w:r w:rsidR="005E3CB9" w:rsidRPr="005666C1">
        <w:rPr>
          <w:rFonts w:eastAsia="Times New Roman" w:cstheme="minorHAnsi"/>
          <w:color w:val="002060"/>
          <w:sz w:val="20"/>
          <w:szCs w:val="20"/>
        </w:rPr>
        <w:t>i</w:t>
      </w:r>
      <w:proofErr w:type="spellEnd"/>
      <w:r w:rsidR="005E3CB9" w:rsidRPr="005666C1">
        <w:rPr>
          <w:rFonts w:eastAsia="Times New Roman" w:cstheme="minorHAnsi"/>
          <w:color w:val="002060"/>
          <w:sz w:val="20"/>
          <w:szCs w:val="20"/>
        </w:rPr>
        <w:t>.) conclusion.  See Pivot2 worksheet.</w:t>
      </w:r>
    </w:p>
    <w:p w14:paraId="4D4F08E9" w14:textId="7BE94165" w:rsidR="00B32159" w:rsidRPr="005666C1" w:rsidRDefault="00EC592F" w:rsidP="005666C1">
      <w:pPr>
        <w:pStyle w:val="ListParagraph"/>
        <w:numPr>
          <w:ilvl w:val="1"/>
          <w:numId w:val="1"/>
        </w:numPr>
        <w:spacing w:before="100" w:beforeAutospacing="1" w:after="0" w:line="240" w:lineRule="auto"/>
        <w:rPr>
          <w:rFonts w:eastAsia="Times New Roman" w:cstheme="minorHAnsi"/>
          <w:color w:val="002060"/>
          <w:sz w:val="20"/>
          <w:szCs w:val="20"/>
        </w:rPr>
      </w:pPr>
      <w:r w:rsidRPr="005666C1">
        <w:rPr>
          <w:rFonts w:eastAsia="Times New Roman" w:cstheme="minorHAnsi"/>
          <w:color w:val="002060"/>
          <w:sz w:val="20"/>
          <w:szCs w:val="20"/>
        </w:rPr>
        <w:t>T</w:t>
      </w:r>
      <w:r w:rsidR="005E3CB9" w:rsidRPr="005666C1">
        <w:rPr>
          <w:rFonts w:eastAsia="Times New Roman" w:cstheme="minorHAnsi"/>
          <w:color w:val="002060"/>
          <w:sz w:val="20"/>
          <w:szCs w:val="20"/>
        </w:rPr>
        <w:t xml:space="preserve">he largest </w:t>
      </w:r>
      <w:r w:rsidRPr="005666C1">
        <w:rPr>
          <w:rFonts w:eastAsia="Times New Roman" w:cstheme="minorHAnsi"/>
          <w:color w:val="002060"/>
          <w:sz w:val="20"/>
          <w:szCs w:val="20"/>
        </w:rPr>
        <w:t>number</w:t>
      </w:r>
      <w:r w:rsidR="005E3CB9" w:rsidRPr="005666C1">
        <w:rPr>
          <w:rFonts w:eastAsia="Times New Roman" w:cstheme="minorHAnsi"/>
          <w:color w:val="002060"/>
          <w:sz w:val="20"/>
          <w:szCs w:val="20"/>
        </w:rPr>
        <w:t xml:space="preserve"> of successful campaigns occurred in the month of May, whereas there is a sharp decline in the </w:t>
      </w:r>
      <w:r w:rsidRPr="005666C1">
        <w:rPr>
          <w:rFonts w:eastAsia="Times New Roman" w:cstheme="minorHAnsi"/>
          <w:color w:val="002060"/>
          <w:sz w:val="20"/>
          <w:szCs w:val="20"/>
        </w:rPr>
        <w:t>number</w:t>
      </w:r>
      <w:r w:rsidR="005E3CB9" w:rsidRPr="005666C1">
        <w:rPr>
          <w:rFonts w:eastAsia="Times New Roman" w:cstheme="minorHAnsi"/>
          <w:color w:val="002060"/>
          <w:sz w:val="20"/>
          <w:szCs w:val="20"/>
        </w:rPr>
        <w:t xml:space="preserve"> of successful campaigns occurring in the month of December.  The number of cancelled campaigns were </w:t>
      </w:r>
      <w:r w:rsidR="00360232" w:rsidRPr="005666C1">
        <w:rPr>
          <w:rFonts w:eastAsia="Times New Roman" w:cstheme="minorHAnsi"/>
          <w:color w:val="002060"/>
          <w:sz w:val="20"/>
          <w:szCs w:val="20"/>
        </w:rPr>
        <w:t>consistent month over month</w:t>
      </w:r>
      <w:r w:rsidRPr="005666C1">
        <w:rPr>
          <w:rFonts w:eastAsia="Times New Roman" w:cstheme="minorHAnsi"/>
          <w:color w:val="002060"/>
          <w:sz w:val="20"/>
          <w:szCs w:val="20"/>
        </w:rPr>
        <w:t xml:space="preserve"> with only a couple of peaks in July and October</w:t>
      </w:r>
      <w:r w:rsidR="00360232" w:rsidRPr="005666C1">
        <w:rPr>
          <w:rFonts w:eastAsia="Times New Roman" w:cstheme="minorHAnsi"/>
          <w:color w:val="002060"/>
          <w:sz w:val="20"/>
          <w:szCs w:val="20"/>
        </w:rPr>
        <w:t>.</w:t>
      </w:r>
      <w:r w:rsidRPr="005666C1">
        <w:rPr>
          <w:rFonts w:eastAsia="Times New Roman" w:cstheme="minorHAnsi"/>
          <w:color w:val="002060"/>
          <w:sz w:val="20"/>
          <w:szCs w:val="20"/>
        </w:rPr>
        <w:t xml:space="preserve">  The number of failed campaigns varied and had high points during the months of January and October.  It is also interesting where the number of failed campaigns exceed successful campaigns in December.</w:t>
      </w:r>
      <w:r w:rsidR="009317E7" w:rsidRPr="005666C1">
        <w:rPr>
          <w:rFonts w:eastAsia="Times New Roman" w:cstheme="minorHAnsi"/>
          <w:color w:val="002060"/>
          <w:sz w:val="20"/>
          <w:szCs w:val="20"/>
        </w:rPr>
        <w:t xml:space="preserve"> See Pivot3 worksheet.</w:t>
      </w:r>
    </w:p>
    <w:p w14:paraId="3E7EB8DA" w14:textId="77777777" w:rsidR="005666C1" w:rsidRDefault="005666C1" w:rsidP="005666C1">
      <w:pPr>
        <w:pStyle w:val="ListParagraph"/>
        <w:spacing w:before="100" w:beforeAutospacing="1" w:after="0" w:line="240" w:lineRule="auto"/>
        <w:ind w:left="1440"/>
        <w:rPr>
          <w:rFonts w:eastAsia="Times New Roman" w:cstheme="minorHAnsi"/>
          <w:sz w:val="20"/>
          <w:szCs w:val="20"/>
        </w:rPr>
      </w:pPr>
    </w:p>
    <w:p w14:paraId="29C32F8C" w14:textId="72CB044D" w:rsidR="00893F49" w:rsidRPr="005666C1" w:rsidRDefault="00893F49" w:rsidP="005666C1">
      <w:pPr>
        <w:pStyle w:val="ListParagraph"/>
        <w:numPr>
          <w:ilvl w:val="0"/>
          <w:numId w:val="1"/>
        </w:numPr>
        <w:spacing w:before="100" w:beforeAutospacing="1" w:after="0" w:line="240" w:lineRule="auto"/>
        <w:rPr>
          <w:rFonts w:eastAsia="Times New Roman" w:cstheme="minorHAnsi"/>
          <w:sz w:val="20"/>
          <w:szCs w:val="20"/>
        </w:rPr>
      </w:pPr>
      <w:r w:rsidRPr="005666C1">
        <w:rPr>
          <w:rFonts w:eastAsia="Times New Roman" w:cstheme="minorHAnsi"/>
          <w:sz w:val="20"/>
          <w:szCs w:val="20"/>
        </w:rPr>
        <w:t>What are some limitations of this dataset?</w:t>
      </w:r>
    </w:p>
    <w:p w14:paraId="0E40E462" w14:textId="094FDFE7" w:rsidR="00893F49" w:rsidRPr="005666C1" w:rsidRDefault="00B32159" w:rsidP="005666C1">
      <w:pPr>
        <w:spacing w:before="100" w:beforeAutospacing="1" w:after="0" w:line="240" w:lineRule="auto"/>
        <w:ind w:left="720"/>
        <w:rPr>
          <w:rFonts w:eastAsia="Times New Roman" w:cstheme="minorHAnsi"/>
          <w:color w:val="002060"/>
          <w:sz w:val="20"/>
          <w:szCs w:val="20"/>
        </w:rPr>
      </w:pPr>
      <w:r w:rsidRPr="005666C1">
        <w:rPr>
          <w:rFonts w:eastAsia="Times New Roman" w:cstheme="minorHAnsi"/>
          <w:color w:val="002060"/>
          <w:sz w:val="20"/>
          <w:szCs w:val="20"/>
        </w:rPr>
        <w:t xml:space="preserve">If someone would want to analyze why campaigns fail or get canceled, more data would be needed to determine if there is a common cause and effect.  </w:t>
      </w:r>
    </w:p>
    <w:p w14:paraId="584D476E" w14:textId="33A3DA12" w:rsidR="00B32159" w:rsidRPr="005666C1" w:rsidRDefault="00B32159" w:rsidP="005666C1">
      <w:pPr>
        <w:spacing w:before="100" w:beforeAutospacing="1" w:after="0" w:line="240" w:lineRule="auto"/>
        <w:ind w:left="720"/>
        <w:rPr>
          <w:rFonts w:eastAsia="Times New Roman" w:cstheme="minorHAnsi"/>
          <w:color w:val="002060"/>
          <w:sz w:val="20"/>
          <w:szCs w:val="20"/>
        </w:rPr>
      </w:pPr>
      <w:r w:rsidRPr="005666C1">
        <w:rPr>
          <w:rFonts w:eastAsia="Times New Roman" w:cstheme="minorHAnsi"/>
          <w:color w:val="002060"/>
          <w:sz w:val="20"/>
          <w:szCs w:val="20"/>
        </w:rPr>
        <w:t>Also, we are not given the definitions of the meaning of ‘state’ values in the data.  For example, the term ‘live’</w:t>
      </w:r>
      <w:r w:rsidR="009317E7" w:rsidRPr="005666C1">
        <w:rPr>
          <w:rFonts w:eastAsia="Times New Roman" w:cstheme="minorHAnsi"/>
          <w:color w:val="002060"/>
          <w:sz w:val="20"/>
          <w:szCs w:val="20"/>
        </w:rPr>
        <w:t xml:space="preserve"> could be determined to be a type of successful </w:t>
      </w:r>
      <w:r w:rsidRPr="005666C1">
        <w:rPr>
          <w:rFonts w:eastAsia="Times New Roman" w:cstheme="minorHAnsi"/>
          <w:color w:val="002060"/>
          <w:sz w:val="20"/>
          <w:szCs w:val="20"/>
        </w:rPr>
        <w:t>campaign</w:t>
      </w:r>
      <w:r w:rsidR="009317E7" w:rsidRPr="005666C1">
        <w:rPr>
          <w:rFonts w:eastAsia="Times New Roman" w:cstheme="minorHAnsi"/>
          <w:color w:val="002060"/>
          <w:sz w:val="20"/>
          <w:szCs w:val="20"/>
        </w:rPr>
        <w:t>, however we are not accounting for such states when evaluating successful campaigns.</w:t>
      </w:r>
      <w:r w:rsidRPr="005666C1">
        <w:rPr>
          <w:rFonts w:eastAsia="Times New Roman" w:cstheme="minorHAnsi"/>
          <w:color w:val="002060"/>
          <w:sz w:val="20"/>
          <w:szCs w:val="20"/>
        </w:rPr>
        <w:t xml:space="preserve">  </w:t>
      </w:r>
    </w:p>
    <w:p w14:paraId="4003E84C" w14:textId="518F62B9" w:rsidR="00893F49" w:rsidRPr="00893F49" w:rsidRDefault="00893F49" w:rsidP="005666C1">
      <w:pPr>
        <w:numPr>
          <w:ilvl w:val="0"/>
          <w:numId w:val="1"/>
        </w:numPr>
        <w:spacing w:before="100" w:beforeAutospacing="1" w:after="0" w:line="240" w:lineRule="auto"/>
        <w:rPr>
          <w:rFonts w:eastAsia="Times New Roman" w:cstheme="minorHAnsi"/>
          <w:sz w:val="20"/>
          <w:szCs w:val="20"/>
        </w:rPr>
      </w:pPr>
      <w:r w:rsidRPr="00893F49">
        <w:rPr>
          <w:rFonts w:eastAsia="Times New Roman" w:cstheme="minorHAnsi"/>
          <w:sz w:val="20"/>
          <w:szCs w:val="20"/>
        </w:rPr>
        <w:t>What are some other possible tables and/or graphs that we could create?</w:t>
      </w:r>
    </w:p>
    <w:p w14:paraId="6905CD37" w14:textId="2FF1B670" w:rsidR="00314505" w:rsidRPr="005666C1" w:rsidRDefault="00314505" w:rsidP="005666C1">
      <w:pPr>
        <w:spacing w:after="0" w:line="240" w:lineRule="auto"/>
        <w:rPr>
          <w:rFonts w:cstheme="minorHAnsi"/>
          <w:sz w:val="20"/>
          <w:szCs w:val="20"/>
        </w:rPr>
      </w:pPr>
    </w:p>
    <w:p w14:paraId="66F0AE9E" w14:textId="09948BDA" w:rsidR="009317E7" w:rsidRPr="005666C1" w:rsidRDefault="009317E7" w:rsidP="005666C1">
      <w:pPr>
        <w:spacing w:after="0" w:line="240" w:lineRule="auto"/>
        <w:ind w:left="720"/>
        <w:rPr>
          <w:rFonts w:cstheme="minorHAnsi"/>
          <w:color w:val="002060"/>
          <w:sz w:val="20"/>
          <w:szCs w:val="20"/>
        </w:rPr>
      </w:pPr>
      <w:r w:rsidRPr="005666C1">
        <w:rPr>
          <w:rFonts w:cstheme="minorHAnsi"/>
          <w:color w:val="002060"/>
          <w:sz w:val="20"/>
          <w:szCs w:val="20"/>
        </w:rPr>
        <w:t>I believe pie charts could be used to show the percentage of the various states of campaigns.  See below for an example.</w:t>
      </w:r>
    </w:p>
    <w:p w14:paraId="22C5D3DC" w14:textId="1A5D5D9A" w:rsidR="009317E7" w:rsidRPr="005666C1" w:rsidRDefault="009317E7" w:rsidP="005666C1">
      <w:pPr>
        <w:spacing w:after="0" w:line="240" w:lineRule="auto"/>
        <w:ind w:left="720"/>
        <w:rPr>
          <w:rFonts w:cstheme="minorHAnsi"/>
          <w:color w:val="002060"/>
          <w:sz w:val="20"/>
          <w:szCs w:val="20"/>
        </w:rPr>
      </w:pPr>
    </w:p>
    <w:p w14:paraId="0ADCA165" w14:textId="0367CCBE" w:rsidR="009317E7" w:rsidRPr="005666C1" w:rsidRDefault="009317E7" w:rsidP="009317E7">
      <w:pPr>
        <w:spacing w:after="0" w:line="240" w:lineRule="auto"/>
        <w:ind w:left="720"/>
        <w:rPr>
          <w:rFonts w:cstheme="minorHAnsi"/>
          <w:color w:val="002060"/>
          <w:sz w:val="20"/>
          <w:szCs w:val="20"/>
        </w:rPr>
      </w:pPr>
      <w:r w:rsidRPr="005666C1">
        <w:rPr>
          <w:rFonts w:cstheme="minorHAnsi"/>
          <w:noProof/>
          <w:color w:val="002060"/>
          <w:sz w:val="20"/>
          <w:szCs w:val="20"/>
        </w:rPr>
        <w:drawing>
          <wp:inline distT="0" distB="0" distL="0" distR="0" wp14:anchorId="463BA37E" wp14:editId="391ADAAB">
            <wp:extent cx="2886075" cy="2619375"/>
            <wp:effectExtent l="0" t="0" r="9525" b="9525"/>
            <wp:docPr id="1" name="Chart 1">
              <a:extLst xmlns:a="http://schemas.openxmlformats.org/drawingml/2006/main">
                <a:ext uri="{FF2B5EF4-FFF2-40B4-BE49-F238E27FC236}">
                  <a16:creationId xmlns:a16="http://schemas.microsoft.com/office/drawing/2014/main" id="{1B558A6E-133C-44A1-A729-E047821D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0264DE5" w14:textId="13FD91C5" w:rsidR="009317E7" w:rsidRPr="005666C1" w:rsidRDefault="009317E7" w:rsidP="009317E7">
      <w:pPr>
        <w:spacing w:after="0" w:line="240" w:lineRule="auto"/>
        <w:ind w:left="720"/>
        <w:rPr>
          <w:rFonts w:cstheme="minorHAnsi"/>
          <w:color w:val="002060"/>
          <w:sz w:val="20"/>
          <w:szCs w:val="20"/>
        </w:rPr>
      </w:pPr>
    </w:p>
    <w:p w14:paraId="01CDE4C6" w14:textId="57E9570F" w:rsidR="009317E7" w:rsidRPr="005666C1" w:rsidRDefault="009317E7" w:rsidP="009317E7">
      <w:pPr>
        <w:spacing w:after="0" w:line="240" w:lineRule="auto"/>
        <w:ind w:left="720"/>
        <w:rPr>
          <w:rFonts w:cstheme="minorHAnsi"/>
          <w:color w:val="002060"/>
          <w:sz w:val="20"/>
          <w:szCs w:val="20"/>
        </w:rPr>
      </w:pPr>
      <w:r w:rsidRPr="005666C1">
        <w:rPr>
          <w:rFonts w:cstheme="minorHAnsi"/>
          <w:color w:val="002060"/>
          <w:sz w:val="20"/>
          <w:szCs w:val="20"/>
        </w:rPr>
        <w:t>Also, scatter plots could be used to show the relationship between two variables, such as the table below.</w:t>
      </w:r>
      <w:r w:rsidR="005666C1" w:rsidRPr="005666C1">
        <w:rPr>
          <w:rFonts w:cstheme="minorHAnsi"/>
          <w:color w:val="002060"/>
          <w:sz w:val="20"/>
          <w:szCs w:val="20"/>
        </w:rPr>
        <w:t xml:space="preserve">  This can also highlight any potential outliers.</w:t>
      </w:r>
    </w:p>
    <w:p w14:paraId="4E063408" w14:textId="5F06FDDB" w:rsidR="009317E7" w:rsidRPr="005666C1" w:rsidRDefault="009317E7" w:rsidP="009317E7">
      <w:pPr>
        <w:spacing w:after="0" w:line="240" w:lineRule="auto"/>
        <w:ind w:left="720"/>
        <w:rPr>
          <w:rFonts w:cstheme="minorHAnsi"/>
          <w:sz w:val="20"/>
          <w:szCs w:val="20"/>
        </w:rPr>
      </w:pPr>
    </w:p>
    <w:p w14:paraId="2A45AA6E" w14:textId="24264413" w:rsidR="009317E7" w:rsidRPr="005666C1" w:rsidRDefault="009317E7" w:rsidP="009317E7">
      <w:pPr>
        <w:spacing w:after="0" w:line="240" w:lineRule="auto"/>
        <w:ind w:left="720"/>
        <w:rPr>
          <w:rFonts w:cstheme="minorHAnsi"/>
          <w:sz w:val="20"/>
          <w:szCs w:val="20"/>
        </w:rPr>
      </w:pPr>
      <w:r w:rsidRPr="005666C1">
        <w:rPr>
          <w:rFonts w:cstheme="minorHAnsi"/>
          <w:noProof/>
          <w:sz w:val="20"/>
          <w:szCs w:val="20"/>
        </w:rPr>
        <w:lastRenderedPageBreak/>
        <w:drawing>
          <wp:inline distT="0" distB="0" distL="0" distR="0" wp14:anchorId="6B0E5C53" wp14:editId="012B0B65">
            <wp:extent cx="5657850" cy="1800225"/>
            <wp:effectExtent l="0" t="0" r="0" b="9525"/>
            <wp:docPr id="2" name="Chart 2">
              <a:extLst xmlns:a="http://schemas.openxmlformats.org/drawingml/2006/main">
                <a:ext uri="{FF2B5EF4-FFF2-40B4-BE49-F238E27FC236}">
                  <a16:creationId xmlns:a16="http://schemas.microsoft.com/office/drawing/2014/main" id="{56CF0022-3146-4EBC-9447-E913730DB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sectPr w:rsidR="009317E7" w:rsidRPr="005666C1" w:rsidSect="00893F49">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22F4B"/>
    <w:multiLevelType w:val="multilevel"/>
    <w:tmpl w:val="C12EAFB0"/>
    <w:lvl w:ilvl="0">
      <w:start w:val="1"/>
      <w:numFmt w:val="decimal"/>
      <w:lvlText w:val="%1."/>
      <w:lvlJc w:val="left"/>
      <w:pPr>
        <w:tabs>
          <w:tab w:val="num" w:pos="720"/>
        </w:tabs>
        <w:ind w:left="720" w:hanging="360"/>
      </w:pPr>
    </w:lvl>
    <w:lvl w:ilvl="1">
      <w:start w:val="1"/>
      <w:numFmt w:val="lowerRoman"/>
      <w:lvlText w:val="%2."/>
      <w:lvlJc w:val="righ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03C"/>
    <w:rsid w:val="00102B78"/>
    <w:rsid w:val="00314505"/>
    <w:rsid w:val="00360232"/>
    <w:rsid w:val="005666C1"/>
    <w:rsid w:val="005E3CB9"/>
    <w:rsid w:val="00893F49"/>
    <w:rsid w:val="009317E7"/>
    <w:rsid w:val="00A61EE1"/>
    <w:rsid w:val="00B32159"/>
    <w:rsid w:val="00DF703C"/>
    <w:rsid w:val="00EC5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C133C"/>
  <w15:chartTrackingRefBased/>
  <w15:docId w15:val="{8643C962-46F0-40A4-883A-179DB1A7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B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0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th\Desktop\UNCC%20Bootcamp\Homework\Excel-Challenge\StarterBook_BMy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[StarterBook_BMyers.xlsx]Pivot1!PivotTable1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s>
    <c:plotArea>
      <c:layout/>
      <c:pieChart>
        <c:varyColors val="1"/>
        <c:ser>
          <c:idx val="0"/>
          <c:order val="0"/>
          <c:tx>
            <c:strRef>
              <c:f>Pivot1!$B$3:$B$4</c:f>
              <c:strCache>
                <c:ptCount val="1"/>
                <c:pt idx="0">
                  <c:v>successful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DC9-44AE-8E73-9C2E30FCB3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DC9-44AE-8E73-9C2E30FCB3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DC9-44AE-8E73-9C2E30FCB3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DC9-44AE-8E73-9C2E30FCB3B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DC9-44AE-8E73-9C2E30FCB3B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DC9-44AE-8E73-9C2E30FCB3B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DC9-44AE-8E73-9C2E30FCB3B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DC9-44AE-8E73-9C2E30FCB3B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DC9-44AE-8E73-9C2E30FCB3B7}"/>
              </c:ext>
            </c:extLst>
          </c:dPt>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12-EDC9-44AE-8E73-9C2E30FCB3B7}"/>
            </c:ext>
          </c:extLst>
        </c:ser>
        <c:ser>
          <c:idx val="1"/>
          <c:order val="1"/>
          <c:tx>
            <c:strRef>
              <c:f>Pivot1!$C$3:$C$4</c:f>
              <c:strCache>
                <c:ptCount val="1"/>
                <c:pt idx="0">
                  <c:v>failed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4-EDC9-44AE-8E73-9C2E30FCB3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6-EDC9-44AE-8E73-9C2E30FCB3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8-EDC9-44AE-8E73-9C2E30FCB3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A-EDC9-44AE-8E73-9C2E30FCB3B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C-EDC9-44AE-8E73-9C2E30FCB3B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E-EDC9-44AE-8E73-9C2E30FCB3B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20-EDC9-44AE-8E73-9C2E30FCB3B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2-EDC9-44AE-8E73-9C2E30FCB3B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24-EDC9-44AE-8E73-9C2E30FCB3B7}"/>
              </c:ext>
            </c:extLst>
          </c:dPt>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Pivot1!$C$5:$C$14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25-EDC9-44AE-8E73-9C2E30FCB3B7}"/>
            </c:ext>
          </c:extLst>
        </c:ser>
        <c:ser>
          <c:idx val="2"/>
          <c:order val="2"/>
          <c:tx>
            <c:strRef>
              <c:f>Pivot1!$D$3:$D$4</c:f>
              <c:strCache>
                <c:ptCount val="1"/>
                <c:pt idx="0">
                  <c:v>canceled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27-EDC9-44AE-8E73-9C2E30FCB3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9-EDC9-44AE-8E73-9C2E30FCB3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B-EDC9-44AE-8E73-9C2E30FCB3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D-EDC9-44AE-8E73-9C2E30FCB3B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2F-EDC9-44AE-8E73-9C2E30FCB3B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1-EDC9-44AE-8E73-9C2E30FCB3B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33-EDC9-44AE-8E73-9C2E30FCB3B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5-EDC9-44AE-8E73-9C2E30FCB3B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37-EDC9-44AE-8E73-9C2E30FCB3B7}"/>
              </c:ext>
            </c:extLst>
          </c:dPt>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Pivot1!$D$5:$D$14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38-EDC9-44AE-8E73-9C2E30FCB3B7}"/>
            </c:ext>
          </c:extLst>
        </c:ser>
        <c:ser>
          <c:idx val="3"/>
          <c:order val="3"/>
          <c:tx>
            <c:strRef>
              <c:f>Pivot1!$E$3:$E$4</c:f>
              <c:strCache>
                <c:ptCount val="1"/>
                <c:pt idx="0">
                  <c:v>live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A-EDC9-44AE-8E73-9C2E30FCB3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C-EDC9-44AE-8E73-9C2E30FCB3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E-EDC9-44AE-8E73-9C2E30FCB3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40-EDC9-44AE-8E73-9C2E30FCB3B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42-EDC9-44AE-8E73-9C2E30FCB3B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4-EDC9-44AE-8E73-9C2E30FCB3B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6-EDC9-44AE-8E73-9C2E30FCB3B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8-EDC9-44AE-8E73-9C2E30FCB3B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A-EDC9-44AE-8E73-9C2E30FCB3B7}"/>
              </c:ext>
            </c:extLst>
          </c:dPt>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Pivot1!$E$5:$E$14</c:f>
              <c:numCache>
                <c:formatCode>General</c:formatCode>
                <c:ptCount val="9"/>
                <c:pt idx="1">
                  <c:v>6</c:v>
                </c:pt>
                <c:pt idx="4">
                  <c:v>20</c:v>
                </c:pt>
                <c:pt idx="8">
                  <c:v>24</c:v>
                </c:pt>
              </c:numCache>
            </c:numRef>
          </c:val>
          <c:extLst>
            <c:ext xmlns:c16="http://schemas.microsoft.com/office/drawing/2014/chart" uri="{C3380CC4-5D6E-409C-BE32-E72D297353CC}">
              <c16:uniqueId val="{0000004B-EDC9-44AE-8E73-9C2E30FCB3B7}"/>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Canceled vs Successful Campaigns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Pivot1!$D$27</c:f>
              <c:strCache>
                <c:ptCount val="1"/>
                <c:pt idx="0">
                  <c:v>canceled</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Pivot1!$B$28:$B$36</c:f>
              <c:numCache>
                <c:formatCode>General</c:formatCode>
                <c:ptCount val="9"/>
                <c:pt idx="0">
                  <c:v>300</c:v>
                </c:pt>
                <c:pt idx="1">
                  <c:v>34</c:v>
                </c:pt>
                <c:pt idx="2">
                  <c:v>80</c:v>
                </c:pt>
                <c:pt idx="4">
                  <c:v>540</c:v>
                </c:pt>
                <c:pt idx="5">
                  <c:v>103</c:v>
                </c:pt>
                <c:pt idx="6">
                  <c:v>80</c:v>
                </c:pt>
                <c:pt idx="7">
                  <c:v>209</c:v>
                </c:pt>
                <c:pt idx="8">
                  <c:v>839</c:v>
                </c:pt>
              </c:numCache>
            </c:numRef>
          </c:xVal>
          <c:yVal>
            <c:numRef>
              <c:f>Pivot1!$D$28:$D$36</c:f>
              <c:numCache>
                <c:formatCode>General</c:formatCode>
                <c:ptCount val="9"/>
                <c:pt idx="0">
                  <c:v>40</c:v>
                </c:pt>
                <c:pt idx="1">
                  <c:v>20</c:v>
                </c:pt>
                <c:pt idx="3">
                  <c:v>24</c:v>
                </c:pt>
                <c:pt idx="4">
                  <c:v>20</c:v>
                </c:pt>
                <c:pt idx="6">
                  <c:v>30</c:v>
                </c:pt>
                <c:pt idx="7">
                  <c:v>178</c:v>
                </c:pt>
                <c:pt idx="8">
                  <c:v>37</c:v>
                </c:pt>
              </c:numCache>
            </c:numRef>
          </c:yVal>
          <c:smooth val="0"/>
          <c:extLst>
            <c:ext xmlns:c16="http://schemas.microsoft.com/office/drawing/2014/chart" uri="{C3380CC4-5D6E-409C-BE32-E72D297353CC}">
              <c16:uniqueId val="{00000001-45FF-43F9-BBC2-8170B1AD2D7F}"/>
            </c:ext>
          </c:extLst>
        </c:ser>
        <c:dLbls>
          <c:showLegendKey val="0"/>
          <c:showVal val="0"/>
          <c:showCatName val="0"/>
          <c:showSerName val="0"/>
          <c:showPercent val="0"/>
          <c:showBubbleSize val="0"/>
        </c:dLbls>
        <c:axId val="922139200"/>
        <c:axId val="922150432"/>
      </c:scatterChart>
      <c:valAx>
        <c:axId val="9221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Successful</a:t>
                </a:r>
                <a:r>
                  <a:rPr lang="en-US" baseline="0"/>
                  <a:t> Campaigns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50432"/>
        <c:crosses val="autoZero"/>
        <c:crossBetween val="midCat"/>
      </c:valAx>
      <c:valAx>
        <c:axId val="92215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Canceled</a:t>
                </a:r>
                <a:r>
                  <a:rPr lang="en-US" baseline="0"/>
                  <a:t> Campaigns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392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4AF55-6875-480B-9296-048519F0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2</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Myers</dc:creator>
  <cp:keywords/>
  <dc:description/>
  <cp:lastModifiedBy>Beth Myers</cp:lastModifiedBy>
  <cp:revision>3</cp:revision>
  <dcterms:created xsi:type="dcterms:W3CDTF">2020-12-15T16:55:00Z</dcterms:created>
  <dcterms:modified xsi:type="dcterms:W3CDTF">2020-12-16T21:01:00Z</dcterms:modified>
</cp:coreProperties>
</file>