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3EEAA" w14:textId="77777777"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摘要首次出现SPH需要给出解释；</w:t>
      </w:r>
    </w:p>
    <w:p w14:paraId="5BB42747" w14:textId="77777777"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摘要首句，建议给出什么</w:t>
      </w:r>
      <w:r w:rsidRPr="007A7C43">
        <w:rPr>
          <w:rFonts w:ascii="方正仿宋_GBK" w:eastAsia="方正仿宋_GBK" w:hAnsi="楷体" w:hint="eastAsia"/>
          <w:color w:val="FF0000"/>
          <w:sz w:val="22"/>
          <w:szCs w:val="28"/>
        </w:rPr>
        <w:t>工程背景，比如什么应用场景的强温差条件</w:t>
      </w:r>
      <w:r w:rsidRPr="004B083E">
        <w:rPr>
          <w:rFonts w:ascii="方正仿宋_GBK" w:eastAsia="方正仿宋_GBK" w:hAnsi="楷体" w:hint="eastAsia"/>
          <w:sz w:val="22"/>
          <w:szCs w:val="28"/>
        </w:rPr>
        <w:t>；除了强温差，对象还具有什么特点？</w:t>
      </w:r>
    </w:p>
    <w:p w14:paraId="3922D69A" w14:textId="77777777"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文中“本项目不聚焦成核机理刻画与全工况工程外推”，不明白什么意思？</w:t>
      </w:r>
    </w:p>
    <w:p w14:paraId="44A8FB52" w14:textId="19CBC3CA"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最后一段后半段，对于“研究的科学技术价值如何”尚未表述清楚，本项目你解决的是算法的问题，其价值是聚焦</w:t>
      </w:r>
      <w:r w:rsidRPr="00FE467F">
        <w:rPr>
          <w:rFonts w:ascii="方正仿宋_GBK" w:eastAsia="方正仿宋_GBK" w:hAnsi="楷体" w:hint="eastAsia"/>
          <w:color w:val="FF0000"/>
          <w:sz w:val="22"/>
          <w:szCs w:val="28"/>
        </w:rPr>
        <w:t>在方法论，学术方面</w:t>
      </w:r>
      <w:r w:rsidRPr="004B083E">
        <w:rPr>
          <w:rFonts w:ascii="方正仿宋_GBK" w:eastAsia="方正仿宋_GBK" w:hAnsi="楷体" w:hint="eastAsia"/>
          <w:sz w:val="22"/>
          <w:szCs w:val="28"/>
        </w:rPr>
        <w:t>，还是聚焦在工程应用，需要阐述清楚。</w:t>
      </w:r>
    </w:p>
    <w:p w14:paraId="464CAE7D" w14:textId="78AE3177"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sz w:val="22"/>
          <w:szCs w:val="28"/>
        </w:rPr>
        <w:t>“</w:t>
      </w:r>
      <w:r w:rsidRPr="004B083E">
        <w:rPr>
          <w:rFonts w:ascii="方正仿宋_GBK" w:eastAsia="方正仿宋_GBK" w:hAnsi="楷体" w:hint="eastAsia"/>
          <w:sz w:val="22"/>
          <w:szCs w:val="28"/>
        </w:rPr>
        <w:t>主要问题及不足</w:t>
      </w:r>
      <w:r w:rsidRPr="004B083E">
        <w:rPr>
          <w:rFonts w:ascii="方正仿宋_GBK" w:eastAsia="方正仿宋_GBK" w:hAnsi="楷体"/>
          <w:sz w:val="22"/>
          <w:szCs w:val="28"/>
        </w:rPr>
        <w:t>”</w:t>
      </w:r>
      <w:r w:rsidRPr="004B083E">
        <w:rPr>
          <w:rFonts w:ascii="方正仿宋_GBK" w:eastAsia="方正仿宋_GBK" w:hAnsi="楷体" w:hint="eastAsia"/>
          <w:sz w:val="22"/>
          <w:szCs w:val="28"/>
        </w:rPr>
        <w:t>与“</w:t>
      </w:r>
      <w:r w:rsidRPr="004B083E">
        <w:rPr>
          <w:rFonts w:ascii="方正仿宋_GBK" w:eastAsia="方正仿宋_GBK" w:hAnsi="楷体"/>
          <w:sz w:val="22"/>
          <w:szCs w:val="28"/>
        </w:rPr>
        <w:t>本项目拟开展的研究课题</w:t>
      </w:r>
      <w:r w:rsidRPr="004B083E">
        <w:rPr>
          <w:rFonts w:ascii="方正仿宋_GBK" w:eastAsia="方正仿宋_GBK" w:hAnsi="楷体" w:hint="eastAsia"/>
          <w:sz w:val="22"/>
          <w:szCs w:val="28"/>
        </w:rPr>
        <w:t>”之间关联有待进一步明确，建议补充一个框图，进一步说明。</w:t>
      </w:r>
    </w:p>
    <w:p w14:paraId="0D586519" w14:textId="340A7E5A"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图5中，科学问题“分离式SPH中界面交换-相变更新-同步推进的守恒一致性协同问题”分解为“强物性跃变界面处动量与热质通量的一致交换及守恒闭合和多时间尺度与拓扑演化条件下的同步守恒及稳定推进”两个科学问题，但文字部分，不涉及“分离式SPH中界面交换-相变更新-同步推进的守恒一致性协同问题”，建议在1）改图；2）改文字，图和文字对应。同理，研究内容也存在“守恒一致性SPH耦合方法”这个问题；图从给出了三级逻辑关系，但是文字只有两级。</w:t>
      </w:r>
    </w:p>
    <w:p w14:paraId="1C6F0E2F" w14:textId="069BDD4D"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三个研究目标，建议不1.3主要问题及不足相对应，逻辑更加清晰；</w:t>
      </w:r>
    </w:p>
    <w:p w14:paraId="159EDF11" w14:textId="40FE6FE5" w:rsidR="0037617B"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个人建议，删除关键技术，本项目聚焦算法，偏方法论，应着重科学问题，弱化技术问题。</w:t>
      </w:r>
    </w:p>
    <w:p w14:paraId="307FCFB3" w14:textId="77777777" w:rsidR="000F0C98" w:rsidRPr="004B083E" w:rsidRDefault="0037617B"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三条研究内容的具体研究方案，个人建议再细化一点，目前不足与支撑方案的可行性和完备性；</w:t>
      </w:r>
    </w:p>
    <w:p w14:paraId="3C9882AA" w14:textId="77777777" w:rsidR="000F0C98" w:rsidRPr="004B083E" w:rsidRDefault="000F0C98"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标蓝/加粗的文字过于零散，尽量是整句</w:t>
      </w:r>
    </w:p>
    <w:p w14:paraId="3B8ECE5D" w14:textId="17A8AA43" w:rsidR="000F0C98" w:rsidRPr="004B083E" w:rsidRDefault="000F0C98"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本项目拟开展的研究课题建议去掉标题4，合成一段话</w:t>
      </w:r>
    </w:p>
    <w:p w14:paraId="3EF054A1" w14:textId="7A993FD4" w:rsidR="000F0C98" w:rsidRPr="004B083E" w:rsidRDefault="000F0C98"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这个项目名称感觉很普通，既没有背景新意，也没有什么概念或学术上创新。这个本子跟E06和A09审的差别很大，偏算法，这个可能要请相关口子的专家把关一下。这个本子一定要根据投的口子修正，要我看又没有特别理论，但又没有物理问题上的内涵。</w:t>
      </w:r>
    </w:p>
    <w:p w14:paraId="06CB19C0" w14:textId="41E8059A" w:rsidR="000F0C98" w:rsidRPr="004B083E" w:rsidRDefault="000F0C98" w:rsidP="004B083E">
      <w:pPr>
        <w:pStyle w:val="a9"/>
        <w:numPr>
          <w:ilvl w:val="0"/>
          <w:numId w:val="1"/>
        </w:numPr>
        <w:adjustRightInd w:val="0"/>
        <w:snapToGrid w:val="0"/>
        <w:contextualSpacing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研究背景没有指出这个问题出现在什么一些重大工程、国家战略或重要科学研究中，比如高超热防护、再生冷却啥的。</w:t>
      </w:r>
    </w:p>
    <w:p w14:paraId="01A51968" w14:textId="77777777" w:rsidR="004B083E" w:rsidRPr="004B083E" w:rsidRDefault="000F0C98" w:rsidP="004B083E">
      <w:pPr>
        <w:pStyle w:val="a9"/>
        <w:numPr>
          <w:ilvl w:val="0"/>
          <w:numId w:val="1"/>
        </w:numPr>
        <w:adjustRightInd w:val="0"/>
        <w:snapToGrid w:val="0"/>
        <w:contextualSpacing w:val="0"/>
        <w:jc w:val="left"/>
        <w:rPr>
          <w:rFonts w:ascii="方正仿宋_GBK" w:eastAsia="方正仿宋_GBK" w:hAnsi="楷体" w:hint="eastAsia"/>
          <w:sz w:val="22"/>
          <w:szCs w:val="28"/>
        </w:rPr>
        <w:sectPr w:rsidR="004B083E" w:rsidRPr="004B083E">
          <w:pgSz w:w="11906" w:h="16838"/>
          <w:pgMar w:top="1440" w:right="1800" w:bottom="1440" w:left="1800" w:header="851" w:footer="992" w:gutter="0"/>
          <w:cols w:space="425"/>
          <w:docGrid w:type="lines" w:linePitch="312"/>
        </w:sectPr>
      </w:pPr>
      <w:r w:rsidRPr="004B083E">
        <w:rPr>
          <w:rFonts w:ascii="方正仿宋_GBK" w:eastAsia="方正仿宋_GBK" w:hAnsi="楷体" w:hint="eastAsia"/>
          <w:sz w:val="22"/>
          <w:szCs w:val="28"/>
        </w:rPr>
        <w:t>因为这个没有跟我们链接起来，看起来支撑比较少，就是厦门大学团队感觉好像不能支撑这个研究，完全靠你自己。写法上是不是调整一下，比如热防护金华老师做很多类似的，但他不做模拟，能否支撑你；还有冮铁强做了一些SPH。</w:t>
      </w:r>
    </w:p>
    <w:p w14:paraId="10C787C4" w14:textId="15A3020D" w:rsidR="000F0C98" w:rsidRPr="004B083E" w:rsidRDefault="004B083E" w:rsidP="004B083E">
      <w:pPr>
        <w:widowControl/>
        <w:adjustRightInd w:val="0"/>
        <w:snapToGrid w:val="0"/>
        <w:jc w:val="left"/>
        <w:rPr>
          <w:rFonts w:ascii="方正仿宋_GBK" w:eastAsia="方正仿宋_GBK" w:hAnsi="楷体" w:hint="eastAsia"/>
          <w:sz w:val="22"/>
          <w:szCs w:val="28"/>
        </w:rPr>
      </w:pPr>
      <w:r w:rsidRPr="004B083E">
        <w:rPr>
          <w:rFonts w:ascii="方正仿宋_GBK" w:eastAsia="方正仿宋_GBK" w:hAnsi="楷体"/>
          <w:sz w:val="22"/>
          <w:szCs w:val="28"/>
        </w:rPr>
        <w:lastRenderedPageBreak/>
        <w:t>为了实现气动性能由</w:t>
      </w:r>
      <w:r w:rsidRPr="004B083E">
        <w:rPr>
          <w:rFonts w:ascii="方正仿宋_GBK" w:eastAsia="方正仿宋_GBK" w:hAnsi="楷体"/>
          <w:sz w:val="22"/>
          <w:szCs w:val="28"/>
        </w:rPr>
        <w:t>“</w:t>
      </w:r>
      <w:r w:rsidRPr="004B083E">
        <w:rPr>
          <w:rFonts w:ascii="方正仿宋_GBK" w:eastAsia="方正仿宋_GBK" w:hAnsi="楷体"/>
          <w:sz w:val="22"/>
          <w:szCs w:val="28"/>
        </w:rPr>
        <w:t>单点最优，全包线可接受</w:t>
      </w:r>
      <w:r w:rsidRPr="004B083E">
        <w:rPr>
          <w:rFonts w:ascii="方正仿宋_GBK" w:eastAsia="方正仿宋_GBK" w:hAnsi="楷体"/>
          <w:sz w:val="22"/>
          <w:szCs w:val="28"/>
        </w:rPr>
        <w:t>”</w:t>
      </w:r>
      <w:r w:rsidRPr="004B083E">
        <w:rPr>
          <w:rFonts w:ascii="方正仿宋_GBK" w:eastAsia="方正仿宋_GBK" w:hAnsi="楷体"/>
          <w:sz w:val="22"/>
          <w:szCs w:val="28"/>
        </w:rPr>
        <w:t>向</w:t>
      </w:r>
      <w:r w:rsidRPr="004B083E">
        <w:rPr>
          <w:rFonts w:ascii="方正仿宋_GBK" w:eastAsia="方正仿宋_GBK" w:hAnsi="楷体"/>
          <w:sz w:val="22"/>
          <w:szCs w:val="28"/>
        </w:rPr>
        <w:t>“</w:t>
      </w:r>
      <w:r w:rsidRPr="004B083E">
        <w:rPr>
          <w:rFonts w:ascii="方正仿宋_GBK" w:eastAsia="方正仿宋_GBK" w:hAnsi="楷体"/>
          <w:sz w:val="22"/>
          <w:szCs w:val="28"/>
        </w:rPr>
        <w:t>可变构型，全包线持续最优</w:t>
      </w:r>
      <w:r w:rsidRPr="004B083E">
        <w:rPr>
          <w:rFonts w:ascii="方正仿宋_GBK" w:eastAsia="方正仿宋_GBK" w:hAnsi="楷体"/>
          <w:sz w:val="22"/>
          <w:szCs w:val="28"/>
        </w:rPr>
        <w:t>”</w:t>
      </w:r>
      <w:r w:rsidRPr="004B083E">
        <w:rPr>
          <w:rFonts w:ascii="方正仿宋_GBK" w:eastAsia="方正仿宋_GBK" w:hAnsi="楷体"/>
          <w:sz w:val="22"/>
          <w:szCs w:val="28"/>
        </w:rPr>
        <w:t>的革命性跨越，智能变体设计已经成为下一代高超声速飞行器重要发展趋势。智能变体机动飞行面临的首要技术瓶颈，是缺乏准确而高效的宽域连续变体气动外形设计原理与方法。为解决该技术瓶颈，对标企业联合基金指南要求，本项目研究从三维激波流动特性入手，推导控制三维激波流场参数变化的高阶微分方程组，再运用该方程组的初边值反问题属性构造给定壁面参数、空间流场、激波形状的流动逆向解析方法，在此基础上发展一种面向复杂三维弯曲激波的全三维随流偏转乘波原理，最终原创性地建立一套满足宽域连续时变要求的高超声速变形乘波气动逆向设计原理与方法。在原理方法指导下，开展智能变形乘波飞行器气动外形设计、高精度数值模拟和机理性风洞试验，阐明运用三维激波解析理论实现内外流宽域连续变形乘波的物理机制，为我国下一代临近空间宽域智能变体飞行器发展奠定基础</w:t>
      </w:r>
      <w:r w:rsidRPr="004B083E">
        <w:rPr>
          <w:rFonts w:ascii="方正仿宋_GBK" w:eastAsia="方正仿宋_GBK" w:hAnsi="楷体" w:hint="eastAsia"/>
          <w:sz w:val="22"/>
          <w:szCs w:val="28"/>
        </w:rPr>
        <w:t>。</w:t>
      </w:r>
    </w:p>
    <w:p w14:paraId="3BE1E362" w14:textId="77777777" w:rsidR="009D21B4" w:rsidRPr="004B083E" w:rsidRDefault="009D21B4" w:rsidP="004B083E">
      <w:pPr>
        <w:adjustRightInd w:val="0"/>
        <w:snapToGrid w:val="0"/>
        <w:rPr>
          <w:rFonts w:hint="eastAsia"/>
          <w:sz w:val="22"/>
          <w:szCs w:val="22"/>
        </w:rPr>
      </w:pPr>
    </w:p>
    <w:p w14:paraId="4F014975" w14:textId="1C6D4E33" w:rsidR="004B083E" w:rsidRDefault="004B083E" w:rsidP="004B083E">
      <w:pPr>
        <w:widowControl/>
        <w:adjustRightInd w:val="0"/>
        <w:snapToGrid w:val="0"/>
        <w:jc w:val="left"/>
        <w:rPr>
          <w:rFonts w:ascii="方正仿宋_GBK" w:eastAsia="方正仿宋_GBK" w:hAnsi="楷体" w:hint="eastAsia"/>
          <w:sz w:val="22"/>
          <w:szCs w:val="28"/>
        </w:rPr>
      </w:pPr>
      <w:r w:rsidRPr="004B083E">
        <w:rPr>
          <w:rFonts w:ascii="方正仿宋_GBK" w:eastAsia="方正仿宋_GBK" w:hAnsi="楷体" w:hint="eastAsia"/>
          <w:sz w:val="22"/>
          <w:szCs w:val="28"/>
        </w:rPr>
        <w:t>强温差条件下，气液相变界面快速演化，密度跃变与体积变化耦合显著，呈现多尺度强非线性特征。传统网格法在强耦合工况下面临界面重构代价高、潜热离散误差易累积与时间步长受限等问题，难以兼顾计算精度与稳定性；现有无网格SPH方法多将界面交换、相变更新与粒子拓扑更新分步处理，界面通量与源项跨时间层进入求解，易诱发界面振荡与能量漂移。为此，本项目开展气液相变两相流的守恒一致性SPH耦合方法研究：构建界面压力与法向速度的相容离散与一致交换机制，抑制非物理振荡与相间掺混；建立热通量驱动的相变质量通量闭合与潜热守恒更新方法，并在同一时间层内一致嵌入两相求解；面向两相压缩性差异与相变体积剧变，发展多时间尺度同步推进与守恒约束的粒子拓扑更新方法，并与界面耦合和相变更新协同集成。通过分层逐级开发与验证，形成可复用的耦合算法与验证方法，为极端工况下相变两相流的可信预测与性能边界评估提供可验证的数值工具与方法学支撑。</w:t>
      </w:r>
    </w:p>
    <w:p w14:paraId="3020B8FC" w14:textId="77777777" w:rsidR="004B083E" w:rsidRDefault="004B083E" w:rsidP="004B083E">
      <w:pPr>
        <w:widowControl/>
        <w:adjustRightInd w:val="0"/>
        <w:snapToGrid w:val="0"/>
        <w:jc w:val="left"/>
        <w:rPr>
          <w:rFonts w:ascii="方正仿宋_GBK" w:eastAsia="方正仿宋_GBK" w:hAnsi="楷体" w:hint="eastAsia"/>
          <w:sz w:val="22"/>
          <w:szCs w:val="28"/>
        </w:rPr>
      </w:pPr>
    </w:p>
    <w:p w14:paraId="37AD2BB7" w14:textId="75E08C55" w:rsidR="004B083E" w:rsidRDefault="004B083E" w:rsidP="004B083E">
      <w:pPr>
        <w:widowControl/>
        <w:adjustRightInd w:val="0"/>
        <w:snapToGrid w:val="0"/>
        <w:jc w:val="left"/>
        <w:rPr>
          <w:rFonts w:ascii="方正仿宋_GBK" w:eastAsia="方正仿宋_GBK" w:hAnsi="楷体" w:hint="eastAsia"/>
          <w:sz w:val="22"/>
          <w:szCs w:val="28"/>
        </w:rPr>
      </w:pPr>
      <w:r w:rsidRPr="004B083E">
        <w:rPr>
          <w:rFonts w:ascii="方正仿宋_GBK" w:eastAsia="方正仿宋_GBK" w:hAnsi="楷体"/>
          <w:sz w:val="22"/>
          <w:szCs w:val="28"/>
        </w:rPr>
        <w:t>随着对旋转爆震发动机热环境的深入研究，边界热效应的影响日益凸显，现有研究主要集中在确保发动机的可靠冷起动，以及解决苛刻热环境等视角，而缺乏对旋转爆震自身特征的关注。探索边界热效应反作用于旋转爆震的影响机制，对理解旋转爆震起爆及传播具有重要意义。本项目拟通过爆震试验结合高精度数值模拟计算，开展边界热效应影响下的旋转爆震起爆及传播机理研究。首先，考虑边界热损失和局部热增益影响，揭示旋转爆震起爆过程波系结构及失稳特性机制；在此基础上，厘清边界热效应影响两相旋转爆震局部掺混和低压二次燃烧演变的规律；最后，针对旋转爆震燃烧室时空不均匀热负载，开展分段式等温边界影响爆震传播过程的试验，探究多波模态和不同尺度下的边界热效应对爆震传播的影响。研究结果将为旋转爆震发动机热环境下的燃烧室设计提供新的思路，为旋转爆震发动机实现稳定起爆和长时间运行的工程化应用提供理论基础与技术支撑。</w:t>
      </w:r>
    </w:p>
    <w:p w14:paraId="0F9A1B83" w14:textId="77777777" w:rsidR="004B083E" w:rsidRDefault="004B083E" w:rsidP="004B083E">
      <w:pPr>
        <w:widowControl/>
        <w:adjustRightInd w:val="0"/>
        <w:snapToGrid w:val="0"/>
        <w:jc w:val="left"/>
        <w:rPr>
          <w:rFonts w:ascii="方正仿宋_GBK" w:eastAsia="方正仿宋_GBK" w:hAnsi="楷体" w:hint="eastAsia"/>
          <w:sz w:val="22"/>
          <w:szCs w:val="28"/>
        </w:rPr>
      </w:pPr>
    </w:p>
    <w:p w14:paraId="6EF57F5A" w14:textId="3B441C61" w:rsidR="004B083E" w:rsidRDefault="004B083E" w:rsidP="004B083E">
      <w:pPr>
        <w:widowControl/>
        <w:adjustRightInd w:val="0"/>
        <w:snapToGrid w:val="0"/>
        <w:jc w:val="left"/>
        <w:rPr>
          <w:rFonts w:ascii="方正仿宋_GBK" w:eastAsia="方正仿宋_GBK" w:hAnsi="楷体" w:hint="eastAsia"/>
          <w:sz w:val="22"/>
          <w:szCs w:val="28"/>
        </w:rPr>
      </w:pPr>
      <w:r w:rsidRPr="004B083E">
        <w:rPr>
          <w:rFonts w:ascii="方正仿宋_GBK" w:eastAsia="方正仿宋_GBK" w:hAnsi="楷体"/>
          <w:sz w:val="22"/>
          <w:szCs w:val="28"/>
        </w:rPr>
        <w:t>固定几何鼓包进气道凭借结构重量轻、气动及隐身性能好等优点，已成功应用于F35、J20等先进战机，变几何鼓包进气道则在飞行速度的提升需求中孕育而生。然而，缺乏综合考虑气动设计、结构方案及控制策略的变几何鼓包进气道设计方法，尚未厘清其变形机制，已成为制约其工作速域提升的关键瓶颈。项目遵循</w:t>
      </w:r>
      <w:r w:rsidRPr="004B083E">
        <w:rPr>
          <w:rFonts w:ascii="方正仿宋_GBK" w:eastAsia="方正仿宋_GBK" w:hAnsi="楷体"/>
          <w:sz w:val="22"/>
          <w:szCs w:val="28"/>
        </w:rPr>
        <w:t>“</w:t>
      </w:r>
      <w:r w:rsidRPr="004B083E">
        <w:rPr>
          <w:rFonts w:ascii="方正仿宋_GBK" w:eastAsia="方正仿宋_GBK" w:hAnsi="楷体"/>
          <w:sz w:val="22"/>
          <w:szCs w:val="28"/>
        </w:rPr>
        <w:t>依托反问题气动设计、开展结构几何相似分析、实现变形鼓包优化控制、提炼设计方法及试验验证</w:t>
      </w:r>
      <w:r w:rsidRPr="004B083E">
        <w:rPr>
          <w:rFonts w:ascii="方正仿宋_GBK" w:eastAsia="方正仿宋_GBK" w:hAnsi="楷体"/>
          <w:sz w:val="22"/>
          <w:szCs w:val="28"/>
        </w:rPr>
        <w:t>”</w:t>
      </w:r>
      <w:r w:rsidRPr="004B083E">
        <w:rPr>
          <w:rFonts w:ascii="方正仿宋_GBK" w:eastAsia="方正仿宋_GBK" w:hAnsi="楷体"/>
          <w:sz w:val="22"/>
          <w:szCs w:val="28"/>
        </w:rPr>
        <w:t>的研究思路，面向基本流场的宽速域波系配置准则、非线性/非单调/非正交特征的结构方案优选判据、考虑气动特性及结构限制的变几何调节最优控制策略、气动/结构/控制耦</w:t>
      </w:r>
      <w:r w:rsidRPr="004B083E">
        <w:rPr>
          <w:rFonts w:ascii="方正仿宋_GBK" w:eastAsia="方正仿宋_GBK" w:hAnsi="楷体"/>
          <w:sz w:val="22"/>
          <w:szCs w:val="28"/>
        </w:rPr>
        <w:lastRenderedPageBreak/>
        <w:t>合的变形机制与流动机理四个关键科学问题，开展气动型面设计、结构变形分析、驱动优化控制、方法试验验证四个层面的研究，建立变几何鼓包进气道的气动/控制耦合设计方法，揭示面向工程应用的变形机制，回答</w:t>
      </w:r>
      <w:r w:rsidRPr="004B083E">
        <w:rPr>
          <w:rFonts w:ascii="方正仿宋_GBK" w:eastAsia="方正仿宋_GBK" w:hAnsi="楷体"/>
          <w:sz w:val="22"/>
          <w:szCs w:val="28"/>
        </w:rPr>
        <w:t>“</w:t>
      </w:r>
      <w:r w:rsidRPr="004B083E">
        <w:rPr>
          <w:rFonts w:ascii="方正仿宋_GBK" w:eastAsia="方正仿宋_GBK" w:hAnsi="楷体"/>
          <w:sz w:val="22"/>
          <w:szCs w:val="28"/>
        </w:rPr>
        <w:t>为什么变</w:t>
      </w:r>
      <w:r w:rsidRPr="004B083E">
        <w:rPr>
          <w:rFonts w:ascii="方正仿宋_GBK" w:eastAsia="方正仿宋_GBK" w:hAnsi="楷体"/>
          <w:sz w:val="22"/>
          <w:szCs w:val="28"/>
        </w:rPr>
        <w:t>”</w:t>
      </w:r>
      <w:r w:rsidRPr="004B083E">
        <w:rPr>
          <w:rFonts w:ascii="方正仿宋_GBK" w:eastAsia="方正仿宋_GBK" w:hAnsi="楷体"/>
          <w:sz w:val="22"/>
          <w:szCs w:val="28"/>
        </w:rPr>
        <w:t>及</w:t>
      </w:r>
      <w:r w:rsidRPr="004B083E">
        <w:rPr>
          <w:rFonts w:ascii="方正仿宋_GBK" w:eastAsia="方正仿宋_GBK" w:hAnsi="楷体"/>
          <w:sz w:val="22"/>
          <w:szCs w:val="28"/>
        </w:rPr>
        <w:t>“</w:t>
      </w:r>
      <w:r w:rsidRPr="004B083E">
        <w:rPr>
          <w:rFonts w:ascii="方正仿宋_GBK" w:eastAsia="方正仿宋_GBK" w:hAnsi="楷体"/>
          <w:sz w:val="22"/>
          <w:szCs w:val="28"/>
        </w:rPr>
        <w:t>怎么变</w:t>
      </w:r>
      <w:r w:rsidRPr="004B083E">
        <w:rPr>
          <w:rFonts w:ascii="方正仿宋_GBK" w:eastAsia="方正仿宋_GBK" w:hAnsi="楷体"/>
          <w:sz w:val="22"/>
          <w:szCs w:val="28"/>
        </w:rPr>
        <w:t>”</w:t>
      </w:r>
      <w:r w:rsidRPr="004B083E">
        <w:rPr>
          <w:rFonts w:ascii="方正仿宋_GBK" w:eastAsia="方正仿宋_GBK" w:hAnsi="楷体"/>
          <w:sz w:val="22"/>
          <w:szCs w:val="28"/>
        </w:rPr>
        <w:t>的疑问，为我国高速鼓包进气道的设计提供方法支撑。</w:t>
      </w:r>
    </w:p>
    <w:p w14:paraId="3DC5F01D" w14:textId="77777777" w:rsidR="000D2869" w:rsidRDefault="000D2869" w:rsidP="004B083E">
      <w:pPr>
        <w:widowControl/>
        <w:adjustRightInd w:val="0"/>
        <w:snapToGrid w:val="0"/>
        <w:jc w:val="left"/>
        <w:rPr>
          <w:rFonts w:ascii="方正仿宋_GBK" w:eastAsia="方正仿宋_GBK" w:hAnsi="楷体" w:hint="eastAsia"/>
          <w:sz w:val="22"/>
          <w:szCs w:val="28"/>
        </w:rPr>
      </w:pPr>
    </w:p>
    <w:p w14:paraId="4810974E" w14:textId="77777777" w:rsidR="000D2869" w:rsidRDefault="000D2869" w:rsidP="000D2869">
      <w:pPr>
        <w:widowControl/>
        <w:adjustRightInd w:val="0"/>
        <w:snapToGrid w:val="0"/>
        <w:jc w:val="left"/>
        <w:rPr>
          <w:rFonts w:ascii="方正仿宋_GBK" w:eastAsia="方正仿宋_GBK" w:hAnsi="楷体" w:hint="eastAsia"/>
          <w:sz w:val="22"/>
          <w:szCs w:val="28"/>
        </w:rPr>
      </w:pPr>
      <w:r w:rsidRPr="000D2869">
        <w:rPr>
          <w:rFonts w:ascii="方正仿宋_GBK" w:eastAsia="方正仿宋_GBK" w:hAnsi="楷体"/>
          <w:sz w:val="22"/>
          <w:szCs w:val="28"/>
        </w:rPr>
        <w:t>强温差极端工况下，沸腾与冷凝伴随强密度比与剧烈体积膨胀收缩，气液界面在多尺度上快速演化，界面通量与相变源项的数值闭合直接决定预测可信度。传统网格法在强耦合条件下需频繁界面重构且时间步受限，潜热离散误差易累积；现有SPH方法多将界面交换、相变更新与粒子拓扑更新分步处理，通量跨时间层进入求解，易诱发压力噪声、界面振荡与能量漂移。针对上述瓶颈，本项目拟建立热力学一致且守恒闭合的气液相变两相SPH耦合框架：首先，构造界面压力与法向速度相容的跨相动量一致交换，使强跃变下的界面约束稳定可控并抑制非物理掺混；其次，基于Stefan条件以两侧热通量差闭合相变质量通量，实施潜热守恒的同层能量与物性更新，实现相变源项与两相求解一致嵌入；最后，面向两相压缩性差异与体积剧变，发展多率时间推进与守恒约束的粒子分裂合并拓扑更新，并与界面耦合和相变更新在同步节点协同集成。项目将通过基准算例收敛阶检验与典型沸腾冷凝物理算例对标，给出误差指标与稳定域，形成可复用算法模块与验证流程，为极端工况相变两相流的可信预测与性能边界评估提供可验证的数值工具与方法学支撑。</w:t>
      </w:r>
    </w:p>
    <w:p w14:paraId="48F80E2C" w14:textId="77777777" w:rsidR="00071D86" w:rsidRDefault="00071D86" w:rsidP="000D2869">
      <w:pPr>
        <w:widowControl/>
        <w:adjustRightInd w:val="0"/>
        <w:snapToGrid w:val="0"/>
        <w:jc w:val="left"/>
        <w:rPr>
          <w:rFonts w:ascii="方正仿宋_GBK" w:eastAsia="方正仿宋_GBK" w:hAnsi="楷体" w:hint="eastAsia"/>
          <w:sz w:val="22"/>
          <w:szCs w:val="28"/>
        </w:rPr>
      </w:pPr>
    </w:p>
    <w:p w14:paraId="30B45700" w14:textId="23A6D30B" w:rsidR="00071D86" w:rsidRDefault="00071D86" w:rsidP="000D2869">
      <w:pPr>
        <w:widowControl/>
        <w:adjustRightInd w:val="0"/>
        <w:snapToGrid w:val="0"/>
        <w:jc w:val="left"/>
        <w:rPr>
          <w:rFonts w:ascii="方正仿宋_GBK" w:eastAsia="方正仿宋_GBK" w:hAnsi="楷体"/>
          <w:sz w:val="22"/>
          <w:szCs w:val="28"/>
        </w:rPr>
      </w:pPr>
      <w:r w:rsidRPr="00071D86">
        <w:rPr>
          <w:rFonts w:ascii="方正仿宋_GBK" w:eastAsia="方正仿宋_GBK" w:hAnsi="楷体"/>
          <w:sz w:val="22"/>
          <w:szCs w:val="28"/>
        </w:rPr>
        <w:t>面向深冷再生冷却与高超热防护场景，沸腾冷凝相变伴随强温差、强密度比与体积膨胀收缩，界面快速拓扑演化且两相压缩性差异明显，网格法界面重构与时间步受限，潜热误差易累积；现有SPH常将界面交换、相变源项与拓扑更新分步处理，通量跨时间层进入求解，诱发界面振荡与能量漂移。项目拟建立热力学一致的分离式纯粒子SPH耦合框架：构造界面接触态驱动的压力与法向速度相容交换，实现跨相动量一致约束并抑制非物理掺混；提出Stefan一致的相变闭合，将热通量差求得的质量通量、潜热项与体积源项同层嵌入液相投影约束与气相动量更新，实现质量能量体积守恒协同闭合；面向体积剧变发展多率时间推进与守恒转移的粒子分裂合并，并在同步节点引入预松弛与在线一致性指标自适应控制拓扑扰动。通过收敛阶检验与典型沸腾冷凝算例对标，给出误差指标与稳定域，形成可复用算法模块与验证流程，为极端相变两相流可信预测与性能边界评估提供方法学支撑。</w:t>
      </w:r>
    </w:p>
    <w:p w14:paraId="36A32886" w14:textId="77777777" w:rsidR="00D33E8D" w:rsidRDefault="00D33E8D" w:rsidP="000D2869">
      <w:pPr>
        <w:widowControl/>
        <w:adjustRightInd w:val="0"/>
        <w:snapToGrid w:val="0"/>
        <w:jc w:val="left"/>
        <w:rPr>
          <w:rFonts w:ascii="方正仿宋_GBK" w:eastAsia="方正仿宋_GBK" w:hAnsi="楷体"/>
          <w:sz w:val="22"/>
          <w:szCs w:val="28"/>
        </w:rPr>
      </w:pPr>
    </w:p>
    <w:p w14:paraId="3F315231" w14:textId="77777777" w:rsidR="00D33E8D" w:rsidRPr="00D33E8D" w:rsidRDefault="00D33E8D" w:rsidP="00D33E8D">
      <w:pPr>
        <w:widowControl/>
        <w:adjustRightInd w:val="0"/>
        <w:snapToGrid w:val="0"/>
        <w:jc w:val="left"/>
        <w:rPr>
          <w:rFonts w:ascii="方正仿宋_GBK" w:eastAsia="方正仿宋_GBK" w:hAnsi="楷体"/>
          <w:b/>
          <w:bCs/>
          <w:sz w:val="22"/>
          <w:szCs w:val="28"/>
        </w:rPr>
      </w:pPr>
      <w:r w:rsidRPr="00D33E8D">
        <w:rPr>
          <w:rFonts w:ascii="方正仿宋_GBK" w:eastAsia="方正仿宋_GBK" w:hAnsi="楷体"/>
          <w:b/>
          <w:bCs/>
          <w:sz w:val="22"/>
          <w:szCs w:val="28"/>
        </w:rPr>
        <w:t>1 综述里可直接支撑立项依据的关键表述</w:t>
      </w:r>
    </w:p>
    <w:p w14:paraId="622B08D3"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下面这些都是综述中</w:t>
      </w:r>
      <w:r w:rsidRPr="00D33E8D">
        <w:rPr>
          <w:rFonts w:ascii="方正仿宋_GBK" w:eastAsia="方正仿宋_GBK" w:hAnsi="楷体"/>
          <w:sz w:val="22"/>
          <w:szCs w:val="28"/>
        </w:rPr>
        <w:t>“</w:t>
      </w:r>
      <w:r w:rsidRPr="00D33E8D">
        <w:rPr>
          <w:rFonts w:ascii="方正仿宋_GBK" w:eastAsia="方正仿宋_GBK" w:hAnsi="楷体"/>
          <w:sz w:val="22"/>
          <w:szCs w:val="28"/>
        </w:rPr>
        <w:t>问题怎么来、为什么难、现在工具哪里不够</w:t>
      </w:r>
      <w:r w:rsidRPr="00D33E8D">
        <w:rPr>
          <w:rFonts w:ascii="方正仿宋_GBK" w:eastAsia="方正仿宋_GBK" w:hAnsi="楷体"/>
          <w:sz w:val="22"/>
          <w:szCs w:val="28"/>
        </w:rPr>
        <w:t>”</w:t>
      </w:r>
      <w:r w:rsidRPr="00D33E8D">
        <w:rPr>
          <w:rFonts w:ascii="方正仿宋_GBK" w:eastAsia="方正仿宋_GBK" w:hAnsi="楷体"/>
          <w:sz w:val="22"/>
          <w:szCs w:val="28"/>
        </w:rPr>
        <w:t>的高质量句子逻辑，你可以按需拼进立项依据。</w:t>
      </w:r>
    </w:p>
    <w:p w14:paraId="27FE7D7E" w14:textId="77777777" w:rsidR="00D33E8D" w:rsidRPr="00D33E8D" w:rsidRDefault="00D33E8D" w:rsidP="00D33E8D">
      <w:pPr>
        <w:widowControl/>
        <w:adjustRightInd w:val="0"/>
        <w:snapToGrid w:val="0"/>
        <w:jc w:val="left"/>
        <w:rPr>
          <w:rFonts w:ascii="方正仿宋_GBK" w:eastAsia="方正仿宋_GBK" w:hAnsi="楷体"/>
          <w:b/>
          <w:bCs/>
          <w:sz w:val="22"/>
          <w:szCs w:val="28"/>
        </w:rPr>
      </w:pPr>
      <w:r w:rsidRPr="00D33E8D">
        <w:rPr>
          <w:rFonts w:ascii="方正仿宋_GBK" w:eastAsia="方正仿宋_GBK" w:hAnsi="楷体"/>
          <w:b/>
          <w:bCs/>
          <w:sz w:val="22"/>
          <w:szCs w:val="28"/>
        </w:rPr>
        <w:t>1.1 工程牵引为什么会把问题推向沸腾冷凝</w:t>
      </w:r>
    </w:p>
    <w:p w14:paraId="69210165" w14:textId="77777777" w:rsidR="00D33E8D" w:rsidRPr="00D33E8D" w:rsidRDefault="00D33E8D" w:rsidP="00D33E8D">
      <w:pPr>
        <w:widowControl/>
        <w:numPr>
          <w:ilvl w:val="0"/>
          <w:numId w:val="3"/>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许多现代应用面临热耗散速率快速上升，同时还要求热管理硬件小型化，单相冷却逐渐难以满足需求，从而推动沸腾与冷凝两相冷却替代单相方案。</w:t>
      </w:r>
    </w:p>
    <w:p w14:paraId="323F697E"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45BECC88" w14:textId="77777777" w:rsidR="00D33E8D" w:rsidRPr="00D33E8D" w:rsidRDefault="00D33E8D" w:rsidP="00D33E8D">
      <w:pPr>
        <w:widowControl/>
        <w:numPr>
          <w:ilvl w:val="0"/>
          <w:numId w:val="3"/>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综述列举的高热流密度应用覆盖电子与数据中心、X射线设备、车载功率电子、氢储系统换热器、聚变堆包层、粒子加速器靶、国防雷达、火箭发动机喷管、激光与微波定向能装备等，说明沸腾冷凝属于跨领域的共性热管理瓶颈。</w:t>
      </w:r>
    </w:p>
    <w:p w14:paraId="43B95B5E"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38F2F672" w14:textId="77777777" w:rsidR="00D33E8D" w:rsidRPr="00D33E8D" w:rsidRDefault="00D33E8D" w:rsidP="00D33E8D">
      <w:pPr>
        <w:widowControl/>
        <w:adjustRightInd w:val="0"/>
        <w:snapToGrid w:val="0"/>
        <w:jc w:val="left"/>
        <w:rPr>
          <w:rFonts w:ascii="方正仿宋_GBK" w:eastAsia="方正仿宋_GBK" w:hAnsi="楷体"/>
          <w:b/>
          <w:bCs/>
          <w:sz w:val="22"/>
          <w:szCs w:val="28"/>
        </w:rPr>
      </w:pPr>
      <w:r w:rsidRPr="00D33E8D">
        <w:rPr>
          <w:rFonts w:ascii="方正仿宋_GBK" w:eastAsia="方正仿宋_GBK" w:hAnsi="楷体"/>
          <w:b/>
          <w:bCs/>
          <w:sz w:val="22"/>
          <w:szCs w:val="28"/>
        </w:rPr>
        <w:t>1.2 为什么不能只靠关联式经验公式</w:t>
      </w:r>
    </w:p>
    <w:p w14:paraId="5BE55053" w14:textId="77777777" w:rsidR="00D33E8D" w:rsidRPr="00D33E8D" w:rsidRDefault="00D33E8D" w:rsidP="00D33E8D">
      <w:pPr>
        <w:widowControl/>
        <w:numPr>
          <w:ilvl w:val="0"/>
          <w:numId w:val="4"/>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lastRenderedPageBreak/>
        <w:t>沸腾与冷凝的常用做法仍高度依赖经验或半经验关联式，但多数关联式只对少数工质和较窄的几何与工况范围有效，工程设计往往被迫外推到适用范围之外，容易导致显著的设计误差。</w:t>
      </w:r>
    </w:p>
    <w:p w14:paraId="074762FD"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58AD276D" w14:textId="77777777" w:rsidR="00D33E8D" w:rsidRPr="00D33E8D" w:rsidRDefault="00D33E8D" w:rsidP="00D33E8D">
      <w:pPr>
        <w:widowControl/>
        <w:numPr>
          <w:ilvl w:val="0"/>
          <w:numId w:val="4"/>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系统级热管理发展呈现大量不同的沸腾冷凝构型，这种构型多样性显著增加了发展通用预测工具用于设计优化的难度。</w:t>
      </w:r>
    </w:p>
    <w:p w14:paraId="05CE5E30"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590005E4" w14:textId="77777777" w:rsidR="00D33E8D" w:rsidRPr="00D33E8D" w:rsidRDefault="00D33E8D" w:rsidP="00D33E8D">
      <w:pPr>
        <w:widowControl/>
        <w:adjustRightInd w:val="0"/>
        <w:snapToGrid w:val="0"/>
        <w:jc w:val="left"/>
        <w:rPr>
          <w:rFonts w:ascii="方正仿宋_GBK" w:eastAsia="方正仿宋_GBK" w:hAnsi="楷体"/>
          <w:b/>
          <w:bCs/>
          <w:sz w:val="22"/>
          <w:szCs w:val="28"/>
        </w:rPr>
      </w:pPr>
      <w:r w:rsidRPr="00D33E8D">
        <w:rPr>
          <w:rFonts w:ascii="方正仿宋_GBK" w:eastAsia="方正仿宋_GBK" w:hAnsi="楷体"/>
          <w:b/>
          <w:bCs/>
          <w:sz w:val="22"/>
          <w:szCs w:val="28"/>
        </w:rPr>
        <w:t>1.3 为什么需要更强的数值方法学而不仅是更大算力</w:t>
      </w:r>
    </w:p>
    <w:p w14:paraId="70EEED58" w14:textId="77777777" w:rsidR="00D33E8D" w:rsidRPr="00D33E8D" w:rsidRDefault="00D33E8D" w:rsidP="00D33E8D">
      <w:pPr>
        <w:widowControl/>
        <w:numPr>
          <w:ilvl w:val="0"/>
          <w:numId w:val="5"/>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CFD在单相流动预测中已很成功，但对两相相变的有效性仍未充分实现，目前两相相变模拟往往代价高、耗时长且局限于简单构型。</w:t>
      </w:r>
    </w:p>
    <w:p w14:paraId="191429EE"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359944BC" w14:textId="77777777" w:rsidR="00D33E8D" w:rsidRPr="00D33E8D" w:rsidRDefault="00D33E8D" w:rsidP="00D33E8D">
      <w:pPr>
        <w:widowControl/>
        <w:numPr>
          <w:ilvl w:val="0"/>
          <w:numId w:val="5"/>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综述指出边界拟合移动网格等拉格朗日方法精度高，但公式与求解复杂且计算代价大，因而也往往只用于非常简单的两相构型。</w:t>
      </w:r>
    </w:p>
    <w:p w14:paraId="53EEBFC1"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093F38B1" w14:textId="77777777" w:rsidR="00D33E8D" w:rsidRPr="00D33E8D" w:rsidRDefault="00D33E8D" w:rsidP="00D33E8D">
      <w:pPr>
        <w:widowControl/>
        <w:adjustRightInd w:val="0"/>
        <w:snapToGrid w:val="0"/>
        <w:jc w:val="left"/>
        <w:rPr>
          <w:rFonts w:ascii="方正仿宋_GBK" w:eastAsia="方正仿宋_GBK" w:hAnsi="楷体"/>
          <w:b/>
          <w:bCs/>
          <w:sz w:val="22"/>
          <w:szCs w:val="28"/>
        </w:rPr>
      </w:pPr>
      <w:r w:rsidRPr="00D33E8D">
        <w:rPr>
          <w:rFonts w:ascii="方正仿宋_GBK" w:eastAsia="方正仿宋_GBK" w:hAnsi="楷体"/>
          <w:b/>
          <w:bCs/>
          <w:sz w:val="22"/>
          <w:szCs w:val="28"/>
        </w:rPr>
        <w:t>1.4 立项依据里非常好用的学术表述</w:t>
      </w:r>
    </w:p>
    <w:p w14:paraId="596E8F27" w14:textId="77777777" w:rsidR="00D33E8D" w:rsidRPr="00D33E8D" w:rsidRDefault="00D33E8D" w:rsidP="00D33E8D">
      <w:pPr>
        <w:widowControl/>
        <w:numPr>
          <w:ilvl w:val="0"/>
          <w:numId w:val="6"/>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综述在未来需求部分明确提出，方法层面存在明显多样性且计算仍局限于简单构型，若要达到更统一、更物理一致、更准确且更高效的方法学目标，需要优先推进若干关键任务，其中包括质量守恒且能准确刻画复杂界面拓扑的界面追踪。</w:t>
      </w:r>
    </w:p>
    <w:p w14:paraId="0176B57F"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421D72F2" w14:textId="77777777" w:rsidR="00D33E8D" w:rsidRPr="00D33E8D" w:rsidRDefault="00D33E8D" w:rsidP="00D33E8D">
      <w:pPr>
        <w:widowControl/>
        <w:numPr>
          <w:ilvl w:val="0"/>
          <w:numId w:val="6"/>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在界面追踪专题段落，综述进一步强调数值格式必须同时做到质量守恒与复杂拓扑的准确刻画，且算力需求是主要障碍之一，二维近似难以解析两相流固有的强三维与复杂拓扑。</w:t>
      </w:r>
    </w:p>
    <w:p w14:paraId="7ECF9563"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7CA2FCB5" w14:textId="77777777" w:rsidR="00D33E8D" w:rsidRPr="00D33E8D" w:rsidRDefault="00D33E8D" w:rsidP="00D33E8D">
      <w:pPr>
        <w:widowControl/>
        <w:numPr>
          <w:ilvl w:val="0"/>
          <w:numId w:val="6"/>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关于界面捕捉方案的典型痛点，综述提到水平集方法虽然能较好处理复杂拓扑，但随时间演化会出现质量守恒误差，需要频繁重初始化或额外的显式守恒修正。</w:t>
      </w:r>
    </w:p>
    <w:p w14:paraId="13C5B4CD"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22B5D87E" w14:textId="77777777" w:rsidR="00D33E8D" w:rsidRPr="00D33E8D" w:rsidRDefault="00D33E8D" w:rsidP="00D33E8D">
      <w:pPr>
        <w:widowControl/>
        <w:numPr>
          <w:ilvl w:val="0"/>
          <w:numId w:val="6"/>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综述也指出VOF具有守恒优势，但界面几何刻画精度不足是其关键短板之一。</w:t>
      </w:r>
    </w:p>
    <w:p w14:paraId="353F2035"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51C36134" w14:textId="77777777" w:rsidR="00D33E8D" w:rsidRPr="00D33E8D" w:rsidRDefault="00D33E8D" w:rsidP="00D33E8D">
      <w:pPr>
        <w:widowControl/>
        <w:adjustRightInd w:val="0"/>
        <w:snapToGrid w:val="0"/>
        <w:jc w:val="left"/>
        <w:rPr>
          <w:rFonts w:ascii="方正仿宋_GBK" w:eastAsia="方正仿宋_GBK" w:hAnsi="楷体"/>
          <w:b/>
          <w:bCs/>
          <w:sz w:val="22"/>
          <w:szCs w:val="28"/>
        </w:rPr>
      </w:pPr>
      <w:r w:rsidRPr="00D33E8D">
        <w:rPr>
          <w:rFonts w:ascii="方正仿宋_GBK" w:eastAsia="方正仿宋_GBK" w:hAnsi="楷体"/>
          <w:b/>
          <w:bCs/>
          <w:sz w:val="22"/>
          <w:szCs w:val="28"/>
        </w:rPr>
        <w:t>1.5 相变传质模型层面的缺口表述</w:t>
      </w:r>
    </w:p>
    <w:p w14:paraId="4F74DA76" w14:textId="77777777" w:rsidR="00D33E8D" w:rsidRPr="00D33E8D" w:rsidRDefault="00D33E8D" w:rsidP="00D33E8D">
      <w:pPr>
        <w:widowControl/>
        <w:numPr>
          <w:ilvl w:val="0"/>
          <w:numId w:val="7"/>
        </w:numPr>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综述在未来需求中提出，从长期看需要更准确的相变模型以同时更可靠估计界面处质量与能量传递，而现有模型在这方面仍存在不足。</w:t>
      </w:r>
    </w:p>
    <w:p w14:paraId="50EDC126" w14:textId="77777777" w:rsidR="00D33E8D" w:rsidRP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2017 HMT 沸腾凝固综述</w:t>
      </w:r>
    </w:p>
    <w:p w14:paraId="4C17B84E" w14:textId="77777777" w:rsidR="00D33E8D" w:rsidRDefault="00D33E8D" w:rsidP="00D33E8D">
      <w:pPr>
        <w:widowControl/>
        <w:adjustRightInd w:val="0"/>
        <w:snapToGrid w:val="0"/>
        <w:jc w:val="left"/>
        <w:rPr>
          <w:rFonts w:ascii="方正仿宋_GBK" w:eastAsia="方正仿宋_GBK" w:hAnsi="楷体"/>
          <w:sz w:val="22"/>
          <w:szCs w:val="28"/>
        </w:rPr>
      </w:pPr>
      <w:r w:rsidRPr="00D33E8D">
        <w:rPr>
          <w:rFonts w:ascii="方正仿宋_GBK" w:eastAsia="方正仿宋_GBK" w:hAnsi="楷体"/>
          <w:sz w:val="22"/>
          <w:szCs w:val="28"/>
        </w:rPr>
        <w:t>这些句子你完全可以按你的写法改成中文自然表述，再把引用挂上去。你明确说试验不需要，那就用上面这些里与试验无关的条目即可。</w:t>
      </w:r>
    </w:p>
    <w:p w14:paraId="745215E2" w14:textId="77777777" w:rsidR="00FE467F" w:rsidRDefault="00FE467F" w:rsidP="00D33E8D">
      <w:pPr>
        <w:widowControl/>
        <w:adjustRightInd w:val="0"/>
        <w:snapToGrid w:val="0"/>
        <w:jc w:val="left"/>
        <w:rPr>
          <w:rFonts w:ascii="方正仿宋_GBK" w:eastAsia="方正仿宋_GBK" w:hAnsi="楷体"/>
          <w:sz w:val="22"/>
          <w:szCs w:val="28"/>
        </w:rPr>
      </w:pPr>
    </w:p>
    <w:p w14:paraId="0A28F7F3" w14:textId="77777777" w:rsidR="00FE467F" w:rsidRDefault="00FE467F" w:rsidP="00D33E8D">
      <w:pPr>
        <w:widowControl/>
        <w:adjustRightInd w:val="0"/>
        <w:snapToGrid w:val="0"/>
        <w:jc w:val="left"/>
        <w:rPr>
          <w:rFonts w:ascii="方正仿宋_GBK" w:eastAsia="方正仿宋_GBK" w:hAnsi="楷体"/>
          <w:sz w:val="22"/>
          <w:szCs w:val="28"/>
        </w:rPr>
      </w:pPr>
    </w:p>
    <w:p w14:paraId="48A04C9A" w14:textId="77777777" w:rsidR="00FE467F" w:rsidRDefault="00FE467F" w:rsidP="00D33E8D">
      <w:pPr>
        <w:widowControl/>
        <w:adjustRightInd w:val="0"/>
        <w:snapToGrid w:val="0"/>
        <w:jc w:val="left"/>
        <w:rPr>
          <w:rFonts w:ascii="方正仿宋_GBK" w:eastAsia="方正仿宋_GBK" w:hAnsi="楷体"/>
          <w:sz w:val="22"/>
          <w:szCs w:val="28"/>
        </w:rPr>
      </w:pPr>
    </w:p>
    <w:p w14:paraId="60717DC4" w14:textId="77777777" w:rsidR="00FE467F" w:rsidRDefault="00FE467F" w:rsidP="00D33E8D">
      <w:pPr>
        <w:widowControl/>
        <w:adjustRightInd w:val="0"/>
        <w:snapToGrid w:val="0"/>
        <w:jc w:val="left"/>
        <w:rPr>
          <w:rFonts w:ascii="方正仿宋_GBK" w:eastAsia="方正仿宋_GBK" w:hAnsi="楷体"/>
          <w:sz w:val="22"/>
          <w:szCs w:val="28"/>
        </w:rPr>
      </w:pPr>
    </w:p>
    <w:p w14:paraId="03E8EA0B" w14:textId="77777777" w:rsidR="00FE467F" w:rsidRDefault="00FE467F" w:rsidP="00D33E8D">
      <w:pPr>
        <w:widowControl/>
        <w:adjustRightInd w:val="0"/>
        <w:snapToGrid w:val="0"/>
        <w:jc w:val="left"/>
        <w:rPr>
          <w:rFonts w:ascii="方正仿宋_GBK" w:eastAsia="方正仿宋_GBK" w:hAnsi="楷体"/>
          <w:sz w:val="22"/>
          <w:szCs w:val="28"/>
        </w:rPr>
      </w:pPr>
    </w:p>
    <w:p w14:paraId="2B2D59A7" w14:textId="77777777" w:rsidR="00FE467F" w:rsidRDefault="00FE467F" w:rsidP="00D33E8D">
      <w:pPr>
        <w:widowControl/>
        <w:adjustRightInd w:val="0"/>
        <w:snapToGrid w:val="0"/>
        <w:jc w:val="left"/>
        <w:rPr>
          <w:rFonts w:ascii="方正仿宋_GBK" w:eastAsia="方正仿宋_GBK" w:hAnsi="楷体"/>
          <w:sz w:val="22"/>
          <w:szCs w:val="28"/>
        </w:rPr>
      </w:pPr>
    </w:p>
    <w:p w14:paraId="33E6C969" w14:textId="77777777" w:rsidR="00771A9E" w:rsidRDefault="00771A9E" w:rsidP="007867FC">
      <w:pPr>
        <w:widowControl/>
        <w:adjustRightInd w:val="0"/>
        <w:snapToGrid w:val="0"/>
        <w:rPr>
          <w:rFonts w:ascii="方正仿宋_GBK" w:eastAsia="方正仿宋_GBK" w:hAnsi="楷体" w:hint="eastAsia"/>
          <w:sz w:val="22"/>
          <w:szCs w:val="28"/>
        </w:rPr>
      </w:pPr>
    </w:p>
    <w:p w14:paraId="0E031E0C" w14:textId="2391730D" w:rsidR="00771A9E" w:rsidRDefault="00771A9E" w:rsidP="00771A9E">
      <w:pPr>
        <w:widowControl/>
        <w:adjustRightInd w:val="0"/>
        <w:snapToGrid w:val="0"/>
        <w:rPr>
          <w:rFonts w:ascii="方正仿宋_GBK" w:eastAsia="方正仿宋_GBK" w:hAnsi="楷体"/>
          <w:sz w:val="22"/>
          <w:szCs w:val="28"/>
        </w:rPr>
      </w:pPr>
      <w:r w:rsidRPr="00771A9E">
        <w:rPr>
          <w:rFonts w:ascii="方正仿宋_GBK" w:eastAsia="方正仿宋_GBK" w:hAnsi="楷体"/>
          <w:sz w:val="22"/>
          <w:szCs w:val="28"/>
        </w:rPr>
        <w:lastRenderedPageBreak/>
        <w:t>面向航空发动机预冷器等紧凑高热流密度通道场景内的流动沸腾亟需可靠预测。强物性跃变使界面动量交换与相变传热强耦合，并伴随体积剧变与多时间尺度特征。网格法频繁重构界面且时间步受限；现有光滑粒子流体动力学（SPH）常将动量交换与相变更新</w:t>
      </w:r>
      <w:r w:rsidR="00AA1921">
        <w:rPr>
          <w:rFonts w:ascii="方正仿宋_GBK" w:eastAsia="方正仿宋_GBK" w:hAnsi="楷体" w:hint="eastAsia"/>
          <w:sz w:val="22"/>
          <w:szCs w:val="28"/>
        </w:rPr>
        <w:t>分步</w:t>
      </w:r>
      <w:r>
        <w:rPr>
          <w:rFonts w:ascii="方正仿宋_GBK" w:eastAsia="方正仿宋_GBK" w:hAnsi="楷体" w:hint="eastAsia"/>
          <w:sz w:val="22"/>
          <w:szCs w:val="28"/>
        </w:rPr>
        <w:t>离散处理</w:t>
      </w:r>
      <w:r w:rsidRPr="00771A9E">
        <w:rPr>
          <w:rFonts w:ascii="方正仿宋_GBK" w:eastAsia="方正仿宋_GBK" w:hAnsi="楷体"/>
          <w:sz w:val="22"/>
          <w:szCs w:val="28"/>
        </w:rPr>
        <w:t>，缺乏可验证的守恒闭合与一致性。本项目将建立沸腾两相流的不可压</w:t>
      </w:r>
      <w:r>
        <w:rPr>
          <w:rFonts w:ascii="方正仿宋_GBK" w:eastAsia="方正仿宋_GBK" w:hAnsi="楷体" w:hint="eastAsia"/>
          <w:sz w:val="22"/>
          <w:szCs w:val="28"/>
        </w:rPr>
        <w:t>-</w:t>
      </w:r>
      <w:r w:rsidRPr="00771A9E">
        <w:rPr>
          <w:rFonts w:ascii="方正仿宋_GBK" w:eastAsia="方正仿宋_GBK" w:hAnsi="楷体"/>
          <w:sz w:val="22"/>
          <w:szCs w:val="28"/>
        </w:rPr>
        <w:t>可压SPH守恒一致性耦合方法，</w:t>
      </w:r>
      <w:r>
        <w:rPr>
          <w:rFonts w:ascii="方正仿宋_GBK" w:eastAsia="方正仿宋_GBK" w:hAnsi="楷体" w:hint="eastAsia"/>
          <w:sz w:val="22"/>
          <w:szCs w:val="28"/>
        </w:rPr>
        <w:t>重点</w:t>
      </w:r>
      <w:r w:rsidRPr="00771A9E">
        <w:rPr>
          <w:rFonts w:ascii="方正仿宋_GBK" w:eastAsia="方正仿宋_GBK" w:hAnsi="楷体"/>
          <w:sz w:val="22"/>
          <w:szCs w:val="28"/>
        </w:rPr>
        <w:t>研究跨相质量、动量与能量的守恒一致</w:t>
      </w:r>
      <w:r>
        <w:rPr>
          <w:rFonts w:ascii="方正仿宋_GBK" w:eastAsia="方正仿宋_GBK" w:hAnsi="楷体" w:hint="eastAsia"/>
          <w:sz w:val="22"/>
          <w:szCs w:val="28"/>
        </w:rPr>
        <w:t>性</w:t>
      </w:r>
      <w:r w:rsidRPr="00771A9E">
        <w:rPr>
          <w:rFonts w:ascii="方正仿宋_GBK" w:eastAsia="方正仿宋_GBK" w:hAnsi="楷体"/>
          <w:sz w:val="22"/>
          <w:szCs w:val="28"/>
        </w:rPr>
        <w:t>离散与耦合策略：</w:t>
      </w:r>
      <w:r>
        <w:rPr>
          <w:rFonts w:ascii="方正仿宋_GBK" w:eastAsia="方正仿宋_GBK" w:hAnsi="楷体" w:hint="eastAsia"/>
          <w:sz w:val="22"/>
          <w:szCs w:val="28"/>
        </w:rPr>
        <w:t>从</w:t>
      </w:r>
      <w:r w:rsidRPr="00771A9E">
        <w:rPr>
          <w:rFonts w:ascii="方正仿宋_GBK" w:eastAsia="方正仿宋_GBK" w:hAnsi="楷体"/>
          <w:sz w:val="22"/>
          <w:szCs w:val="28"/>
        </w:rPr>
        <w:t>构造界面压力与法向速度相容</w:t>
      </w:r>
      <w:r>
        <w:rPr>
          <w:rFonts w:ascii="方正仿宋_GBK" w:eastAsia="方正仿宋_GBK" w:hAnsi="楷体" w:hint="eastAsia"/>
          <w:sz w:val="22"/>
          <w:szCs w:val="28"/>
        </w:rPr>
        <w:t>的离散</w:t>
      </w:r>
      <w:r w:rsidRPr="00771A9E">
        <w:rPr>
          <w:rFonts w:ascii="方正仿宋_GBK" w:eastAsia="方正仿宋_GBK" w:hAnsi="楷体"/>
          <w:sz w:val="22"/>
          <w:szCs w:val="28"/>
        </w:rPr>
        <w:t>算子</w:t>
      </w:r>
      <w:r>
        <w:rPr>
          <w:rFonts w:ascii="方正仿宋_GBK" w:eastAsia="方正仿宋_GBK" w:hAnsi="楷体" w:hint="eastAsia"/>
          <w:sz w:val="22"/>
          <w:szCs w:val="28"/>
        </w:rPr>
        <w:t>出发，</w:t>
      </w:r>
      <w:r w:rsidR="00AA1921">
        <w:rPr>
          <w:rFonts w:ascii="方正仿宋_GBK" w:eastAsia="方正仿宋_GBK" w:hAnsi="楷体" w:hint="eastAsia"/>
          <w:sz w:val="22"/>
          <w:szCs w:val="28"/>
        </w:rPr>
        <w:t>实现</w:t>
      </w:r>
      <w:r>
        <w:rPr>
          <w:rFonts w:ascii="方正仿宋_GBK" w:eastAsia="方正仿宋_GBK" w:hAnsi="楷体" w:hint="eastAsia"/>
          <w:sz w:val="22"/>
          <w:szCs w:val="28"/>
        </w:rPr>
        <w:t>强物性跃变下两相动量统一交换与稳定耦合；</w:t>
      </w:r>
      <w:r w:rsidRPr="00771A9E">
        <w:rPr>
          <w:rFonts w:ascii="方正仿宋_GBK" w:eastAsia="方正仿宋_GBK" w:hAnsi="楷体"/>
          <w:sz w:val="22"/>
          <w:szCs w:val="28"/>
        </w:rPr>
        <w:t>在同一离散结构建立相变源项与潜热守恒更新，</w:t>
      </w:r>
      <w:r>
        <w:rPr>
          <w:rFonts w:ascii="方正仿宋_GBK" w:eastAsia="方正仿宋_GBK" w:hAnsi="楷体" w:hint="eastAsia"/>
          <w:sz w:val="22"/>
          <w:szCs w:val="28"/>
        </w:rPr>
        <w:t>将</w:t>
      </w:r>
      <w:r w:rsidR="00AA1921">
        <w:rPr>
          <w:rFonts w:ascii="方正仿宋_GBK" w:eastAsia="方正仿宋_GBK" w:hAnsi="楷体" w:hint="eastAsia"/>
          <w:sz w:val="22"/>
          <w:szCs w:val="28"/>
        </w:rPr>
        <w:t>相变源项</w:t>
      </w:r>
      <w:r>
        <w:rPr>
          <w:rFonts w:ascii="方正仿宋_GBK" w:eastAsia="方正仿宋_GBK" w:hAnsi="楷体" w:hint="eastAsia"/>
          <w:sz w:val="22"/>
          <w:szCs w:val="28"/>
        </w:rPr>
        <w:t>同层嵌入两相实现强耦合；针对</w:t>
      </w:r>
      <w:r>
        <w:rPr>
          <w:rFonts w:ascii="方正仿宋_GBK" w:eastAsia="方正仿宋_GBK" w:hAnsi="楷体" w:hint="eastAsia"/>
          <w:sz w:val="22"/>
          <w:szCs w:val="28"/>
        </w:rPr>
        <w:t>强耦合中的多时间尺度与体积剧变下的拓扑更新</w:t>
      </w:r>
      <w:r>
        <w:rPr>
          <w:rFonts w:ascii="方正仿宋_GBK" w:eastAsia="方正仿宋_GBK" w:hAnsi="楷体" w:hint="eastAsia"/>
          <w:sz w:val="22"/>
          <w:szCs w:val="28"/>
        </w:rPr>
        <w:t>，</w:t>
      </w:r>
      <w:r>
        <w:rPr>
          <w:rFonts w:ascii="方正仿宋_GBK" w:eastAsia="方正仿宋_GBK" w:hAnsi="楷体" w:hint="eastAsia"/>
          <w:sz w:val="22"/>
          <w:szCs w:val="28"/>
        </w:rPr>
        <w:t>构建守恒一致性约束与协同集成。通过分层收敛性分析与典型算例对比验证，形成可复用的算法框架与验证流程，</w:t>
      </w:r>
      <w:r>
        <w:rPr>
          <w:rFonts w:ascii="方正仿宋_GBK" w:eastAsia="方正仿宋_GBK" w:hAnsi="楷体" w:hint="eastAsia"/>
          <w:sz w:val="22"/>
          <w:szCs w:val="28"/>
        </w:rPr>
        <w:t>为</w:t>
      </w:r>
      <w:r w:rsidRPr="00771A9E">
        <w:rPr>
          <w:rFonts w:ascii="方正仿宋_GBK" w:eastAsia="方正仿宋_GBK" w:hAnsi="楷体"/>
          <w:sz w:val="22"/>
          <w:szCs w:val="28"/>
        </w:rPr>
        <w:t>极端热管理工况下沸腾两相流的可信预测与相关工程装备性能边界评估提供可靠的方法学支撑。</w:t>
      </w:r>
    </w:p>
    <w:p w14:paraId="13F2FD2E" w14:textId="77777777" w:rsidR="00771A9E" w:rsidRDefault="00771A9E" w:rsidP="007867FC">
      <w:pPr>
        <w:widowControl/>
        <w:adjustRightInd w:val="0"/>
        <w:snapToGrid w:val="0"/>
        <w:rPr>
          <w:rFonts w:ascii="方正仿宋_GBK" w:eastAsia="方正仿宋_GBK" w:hAnsi="楷体"/>
          <w:sz w:val="22"/>
          <w:szCs w:val="28"/>
        </w:rPr>
      </w:pPr>
    </w:p>
    <w:p w14:paraId="2B7C1E4D" w14:textId="77777777" w:rsidR="00771A9E" w:rsidRDefault="00771A9E" w:rsidP="007867FC">
      <w:pPr>
        <w:widowControl/>
        <w:adjustRightInd w:val="0"/>
        <w:snapToGrid w:val="0"/>
        <w:rPr>
          <w:rFonts w:ascii="方正仿宋_GBK" w:eastAsia="方正仿宋_GBK" w:hAnsi="楷体" w:hint="eastAsia"/>
          <w:sz w:val="22"/>
          <w:szCs w:val="28"/>
        </w:rPr>
      </w:pPr>
    </w:p>
    <w:p w14:paraId="64EC88D2" w14:textId="77777777" w:rsidR="00344EBD" w:rsidRDefault="00344EBD" w:rsidP="007867FC">
      <w:pPr>
        <w:widowControl/>
        <w:adjustRightInd w:val="0"/>
        <w:snapToGrid w:val="0"/>
        <w:rPr>
          <w:rFonts w:ascii="方正仿宋_GBK" w:eastAsia="方正仿宋_GBK" w:hAnsi="楷体"/>
          <w:sz w:val="22"/>
          <w:szCs w:val="28"/>
        </w:rPr>
      </w:pPr>
    </w:p>
    <w:p w14:paraId="1CE19E3C" w14:textId="7B5AC961" w:rsidR="00DD17CF" w:rsidRPr="006F6130" w:rsidRDefault="00512076" w:rsidP="007867FC">
      <w:pPr>
        <w:widowControl/>
        <w:adjustRightInd w:val="0"/>
        <w:snapToGrid w:val="0"/>
        <w:rPr>
          <w:rFonts w:ascii="方正仿宋_GBK" w:eastAsia="方正仿宋_GBK" w:hAnsi="楷体"/>
          <w:sz w:val="22"/>
          <w:szCs w:val="28"/>
        </w:rPr>
      </w:pPr>
      <w:r>
        <w:rPr>
          <w:rFonts w:ascii="方正仿宋_GBK" w:eastAsia="方正仿宋_GBK" w:hAnsi="楷体" w:hint="eastAsia"/>
          <w:sz w:val="22"/>
          <w:szCs w:val="28"/>
        </w:rPr>
        <w:t>在耦合界面建立同一离散算子下的相变源项与潜热守恒更新策略，将质量能量与体积源项同层嵌入两相实现强耦合；面向强耦合中的多时间尺度与体积剧变引起的拓扑更新，构建守恒一致性约束并协同集成。通过分层</w:t>
      </w:r>
      <w:r w:rsidR="006F6130">
        <w:rPr>
          <w:rFonts w:ascii="方正仿宋_GBK" w:eastAsia="方正仿宋_GBK" w:hAnsi="楷体" w:hint="eastAsia"/>
          <w:sz w:val="22"/>
          <w:szCs w:val="28"/>
        </w:rPr>
        <w:t>收敛性</w:t>
      </w:r>
      <w:r>
        <w:rPr>
          <w:rFonts w:ascii="方正仿宋_GBK" w:eastAsia="方正仿宋_GBK" w:hAnsi="楷体" w:hint="eastAsia"/>
          <w:sz w:val="22"/>
          <w:szCs w:val="28"/>
        </w:rPr>
        <w:t>分析与典型</w:t>
      </w:r>
      <w:r w:rsidR="006F6130">
        <w:rPr>
          <w:rFonts w:ascii="方正仿宋_GBK" w:eastAsia="方正仿宋_GBK" w:hAnsi="楷体" w:hint="eastAsia"/>
          <w:sz w:val="22"/>
          <w:szCs w:val="28"/>
        </w:rPr>
        <w:t>算例</w:t>
      </w:r>
      <w:r>
        <w:rPr>
          <w:rFonts w:ascii="方正仿宋_GBK" w:eastAsia="方正仿宋_GBK" w:hAnsi="楷体" w:hint="eastAsia"/>
          <w:sz w:val="22"/>
          <w:szCs w:val="28"/>
        </w:rPr>
        <w:t>对比验证，</w:t>
      </w:r>
      <w:r w:rsidR="006F6130">
        <w:rPr>
          <w:rFonts w:ascii="方正仿宋_GBK" w:eastAsia="方正仿宋_GBK" w:hAnsi="楷体" w:hint="eastAsia"/>
          <w:sz w:val="22"/>
          <w:szCs w:val="28"/>
        </w:rPr>
        <w:t>形成可复用的算法框架与验证流程，为</w:t>
      </w:r>
      <w:r w:rsidR="006F6130" w:rsidRPr="006F6130">
        <w:rPr>
          <w:rFonts w:ascii="方正仿宋_GBK" w:eastAsia="方正仿宋_GBK" w:hAnsi="楷体" w:hint="eastAsia"/>
          <w:sz w:val="22"/>
          <w:szCs w:val="28"/>
        </w:rPr>
        <w:t>极端工况下沸腾两相流的可信预测与性能边界评估提供可验证的方法学支撑。</w:t>
      </w:r>
    </w:p>
    <w:p w14:paraId="4BD2E10C" w14:textId="77777777" w:rsidR="00DD17CF" w:rsidRPr="00A81544" w:rsidRDefault="00DD17CF" w:rsidP="007867FC">
      <w:pPr>
        <w:widowControl/>
        <w:adjustRightInd w:val="0"/>
        <w:snapToGrid w:val="0"/>
        <w:rPr>
          <w:rFonts w:ascii="方正仿宋_GBK" w:eastAsia="方正仿宋_GBK" w:hAnsi="楷体"/>
          <w:sz w:val="22"/>
          <w:szCs w:val="28"/>
        </w:rPr>
      </w:pPr>
    </w:p>
    <w:p w14:paraId="366C4E29" w14:textId="77777777" w:rsidR="00DD17CF" w:rsidRPr="008F41D0" w:rsidRDefault="00DD17CF" w:rsidP="007867FC">
      <w:pPr>
        <w:widowControl/>
        <w:adjustRightInd w:val="0"/>
        <w:snapToGrid w:val="0"/>
        <w:rPr>
          <w:rFonts w:ascii="方正仿宋_GBK" w:eastAsia="方正仿宋_GBK" w:hAnsi="楷体"/>
          <w:sz w:val="22"/>
          <w:szCs w:val="28"/>
        </w:rPr>
      </w:pPr>
    </w:p>
    <w:p w14:paraId="03CA579B" w14:textId="77777777" w:rsidR="007F22D8" w:rsidRDefault="007F22D8" w:rsidP="009A3A60">
      <w:pPr>
        <w:widowControl/>
        <w:adjustRightInd w:val="0"/>
        <w:snapToGrid w:val="0"/>
        <w:jc w:val="left"/>
        <w:rPr>
          <w:rFonts w:ascii="方正仿宋_GBK" w:eastAsia="方正仿宋_GBK" w:hAnsi="楷体"/>
          <w:sz w:val="22"/>
          <w:szCs w:val="28"/>
        </w:rPr>
      </w:pPr>
    </w:p>
    <w:p w14:paraId="53A21DDB" w14:textId="77777777" w:rsidR="00A81544" w:rsidRDefault="00A81544" w:rsidP="009A3A60">
      <w:pPr>
        <w:widowControl/>
        <w:adjustRightInd w:val="0"/>
        <w:snapToGrid w:val="0"/>
        <w:jc w:val="left"/>
        <w:rPr>
          <w:rFonts w:ascii="方正仿宋_GBK" w:eastAsia="方正仿宋_GBK" w:hAnsi="楷体"/>
          <w:sz w:val="22"/>
          <w:szCs w:val="28"/>
        </w:rPr>
      </w:pPr>
    </w:p>
    <w:p w14:paraId="426A54D3" w14:textId="77777777" w:rsidR="00A81544" w:rsidRDefault="00A81544" w:rsidP="009A3A60">
      <w:pPr>
        <w:widowControl/>
        <w:adjustRightInd w:val="0"/>
        <w:snapToGrid w:val="0"/>
        <w:jc w:val="left"/>
        <w:rPr>
          <w:rFonts w:ascii="方正仿宋_GBK" w:eastAsia="方正仿宋_GBK" w:hAnsi="楷体" w:hint="eastAsia"/>
          <w:sz w:val="22"/>
          <w:szCs w:val="28"/>
        </w:rPr>
      </w:pPr>
    </w:p>
    <w:p w14:paraId="11A69FF0" w14:textId="2EC98399" w:rsidR="009A3A60" w:rsidRDefault="009A3A60" w:rsidP="009A3A60">
      <w:pPr>
        <w:widowControl/>
        <w:adjustRightInd w:val="0"/>
        <w:snapToGrid w:val="0"/>
        <w:jc w:val="left"/>
        <w:rPr>
          <w:rFonts w:ascii="方正仿宋_GBK" w:eastAsia="方正仿宋_GBK" w:hAnsi="楷体"/>
          <w:sz w:val="22"/>
          <w:szCs w:val="28"/>
        </w:rPr>
      </w:pPr>
      <w:r w:rsidRPr="009A3A60">
        <w:rPr>
          <w:rFonts w:ascii="方正仿宋_GBK" w:eastAsia="方正仿宋_GBK" w:hAnsi="楷体"/>
          <w:sz w:val="22"/>
          <w:szCs w:val="28"/>
        </w:rPr>
        <w:t>面向航空发动机预冷换热器等紧凑高热流密度通道内流动沸腾，强温差与强密度比使界面传热与相变质量转化强耦合，</w:t>
      </w:r>
      <w:r w:rsidR="00D81DB4">
        <w:rPr>
          <w:rFonts w:ascii="方正仿宋_GBK" w:eastAsia="方正仿宋_GBK" w:hAnsi="楷体" w:hint="eastAsia"/>
          <w:sz w:val="22"/>
          <w:szCs w:val="28"/>
        </w:rPr>
        <w:t>并</w:t>
      </w:r>
      <w:r w:rsidRPr="009A3A60">
        <w:rPr>
          <w:rFonts w:ascii="方正仿宋_GBK" w:eastAsia="方正仿宋_GBK" w:hAnsi="楷体"/>
          <w:sz w:val="22"/>
          <w:szCs w:val="28"/>
        </w:rPr>
        <w:t>伴随体积剧变与多时间尺度响应，</w:t>
      </w:r>
      <w:r w:rsidR="00D81DB4">
        <w:rPr>
          <w:rFonts w:ascii="方正仿宋_GBK" w:eastAsia="方正仿宋_GBK" w:hAnsi="楷体" w:hint="eastAsia"/>
          <w:sz w:val="22"/>
          <w:szCs w:val="28"/>
        </w:rPr>
        <w:t>性能预测</w:t>
      </w:r>
      <w:r w:rsidRPr="009A3A60">
        <w:rPr>
          <w:rFonts w:ascii="方正仿宋_GBK" w:eastAsia="方正仿宋_GBK" w:hAnsi="楷体"/>
          <w:sz w:val="22"/>
          <w:szCs w:val="28"/>
        </w:rPr>
        <w:t>对数值方法</w:t>
      </w:r>
      <w:r w:rsidR="00D81DB4">
        <w:rPr>
          <w:rFonts w:ascii="方正仿宋_GBK" w:eastAsia="方正仿宋_GBK" w:hAnsi="楷体" w:hint="eastAsia"/>
          <w:sz w:val="22"/>
          <w:szCs w:val="28"/>
        </w:rPr>
        <w:t>提出可靠性</w:t>
      </w:r>
      <w:r w:rsidRPr="009A3A60">
        <w:rPr>
          <w:rFonts w:ascii="方正仿宋_GBK" w:eastAsia="方正仿宋_GBK" w:hAnsi="楷体"/>
          <w:sz w:val="22"/>
          <w:szCs w:val="28"/>
        </w:rPr>
        <w:t>要求。</w:t>
      </w:r>
      <w:r w:rsidR="00BB1FB8">
        <w:rPr>
          <w:rFonts w:ascii="方正仿宋_GBK" w:eastAsia="方正仿宋_GBK" w:hAnsi="楷体" w:hint="eastAsia"/>
          <w:sz w:val="22"/>
          <w:szCs w:val="28"/>
        </w:rPr>
        <w:t>针对沸腾两相流，</w:t>
      </w:r>
      <w:r w:rsidR="00BB1FB8" w:rsidRPr="009A3A60">
        <w:rPr>
          <w:rFonts w:ascii="方正仿宋_GBK" w:eastAsia="方正仿宋_GBK" w:hAnsi="楷体"/>
          <w:sz w:val="22"/>
          <w:szCs w:val="28"/>
        </w:rPr>
        <w:t>网格法频繁重构界面且时间步受限；现有无网格</w:t>
      </w:r>
      <w:r w:rsidR="00BB1FB8">
        <w:rPr>
          <w:rFonts w:ascii="方正仿宋_GBK" w:eastAsia="方正仿宋_GBK" w:hAnsi="楷体" w:hint="eastAsia"/>
          <w:sz w:val="22"/>
          <w:szCs w:val="28"/>
        </w:rPr>
        <w:t>光滑粒子流体动力学（SPH）</w:t>
      </w:r>
      <w:r w:rsidR="00BB1FB8" w:rsidRPr="009A3A60">
        <w:rPr>
          <w:rFonts w:ascii="方正仿宋_GBK" w:eastAsia="方正仿宋_GBK" w:hAnsi="楷体"/>
          <w:sz w:val="22"/>
          <w:szCs w:val="28"/>
        </w:rPr>
        <w:t>常将界面动量交换</w:t>
      </w:r>
      <w:r w:rsidR="00BB1FB8">
        <w:rPr>
          <w:rFonts w:ascii="方正仿宋_GBK" w:eastAsia="方正仿宋_GBK" w:hAnsi="楷体" w:hint="eastAsia"/>
          <w:sz w:val="22"/>
          <w:szCs w:val="28"/>
        </w:rPr>
        <w:t>与</w:t>
      </w:r>
      <w:r w:rsidR="00BB1FB8" w:rsidRPr="009A3A60">
        <w:rPr>
          <w:rFonts w:ascii="方正仿宋_GBK" w:eastAsia="方正仿宋_GBK" w:hAnsi="楷体"/>
          <w:sz w:val="22"/>
          <w:szCs w:val="28"/>
        </w:rPr>
        <w:t>相变更新</w:t>
      </w:r>
      <w:r w:rsidR="00BB1FB8">
        <w:rPr>
          <w:rFonts w:ascii="方正仿宋_GBK" w:eastAsia="方正仿宋_GBK" w:hAnsi="楷体" w:hint="eastAsia"/>
          <w:sz w:val="22"/>
          <w:szCs w:val="28"/>
        </w:rPr>
        <w:t>等</w:t>
      </w:r>
      <w:r w:rsidR="00BB1FB8" w:rsidRPr="009A3A60">
        <w:rPr>
          <w:rFonts w:ascii="方正仿宋_GBK" w:eastAsia="方正仿宋_GBK" w:hAnsi="楷体"/>
          <w:sz w:val="22"/>
          <w:szCs w:val="28"/>
        </w:rPr>
        <w:t>分步</w:t>
      </w:r>
      <w:r w:rsidR="00BB1FB8">
        <w:rPr>
          <w:rFonts w:ascii="方正仿宋_GBK" w:eastAsia="方正仿宋_GBK" w:hAnsi="楷体" w:hint="eastAsia"/>
          <w:sz w:val="22"/>
          <w:szCs w:val="28"/>
        </w:rPr>
        <w:t>处理，</w:t>
      </w:r>
      <w:r w:rsidR="00BB1FB8" w:rsidRPr="009A3A60">
        <w:rPr>
          <w:rFonts w:ascii="方正仿宋_GBK" w:eastAsia="方正仿宋_GBK" w:hAnsi="楷体"/>
          <w:sz w:val="22"/>
          <w:szCs w:val="28"/>
        </w:rPr>
        <w:t>难以实现守恒闭合与可验证一致性。</w:t>
      </w:r>
      <w:r w:rsidRPr="009A3A60">
        <w:rPr>
          <w:rFonts w:ascii="方正仿宋_GBK" w:eastAsia="方正仿宋_GBK" w:hAnsi="楷体"/>
          <w:sz w:val="22"/>
          <w:szCs w:val="28"/>
        </w:rPr>
        <w:t>本项目</w:t>
      </w:r>
      <w:r w:rsidR="00BB1FB8">
        <w:rPr>
          <w:rFonts w:ascii="方正仿宋_GBK" w:eastAsia="方正仿宋_GBK" w:hAnsi="楷体" w:hint="eastAsia"/>
          <w:sz w:val="22"/>
          <w:szCs w:val="28"/>
        </w:rPr>
        <w:t>将</w:t>
      </w:r>
      <w:r w:rsidRPr="009A3A60">
        <w:rPr>
          <w:rFonts w:ascii="方正仿宋_GBK" w:eastAsia="方正仿宋_GBK" w:hAnsi="楷体"/>
          <w:sz w:val="22"/>
          <w:szCs w:val="28"/>
        </w:rPr>
        <w:t>建立沸腾两相流不可压与可压SPH</w:t>
      </w:r>
      <w:r w:rsidR="00BB1FB8">
        <w:rPr>
          <w:rFonts w:ascii="方正仿宋_GBK" w:eastAsia="方正仿宋_GBK" w:hAnsi="楷体" w:hint="eastAsia"/>
          <w:sz w:val="22"/>
          <w:szCs w:val="28"/>
        </w:rPr>
        <w:t>的</w:t>
      </w:r>
      <w:r w:rsidRPr="009A3A60">
        <w:rPr>
          <w:rFonts w:ascii="方正仿宋_GBK" w:eastAsia="方正仿宋_GBK" w:hAnsi="楷体"/>
          <w:sz w:val="22"/>
          <w:szCs w:val="28"/>
        </w:rPr>
        <w:t>守恒一致性耦合方法，围绕跨相质量、动量与能量的</w:t>
      </w:r>
      <w:r>
        <w:rPr>
          <w:rFonts w:ascii="方正仿宋_GBK" w:eastAsia="方正仿宋_GBK" w:hAnsi="楷体" w:hint="eastAsia"/>
          <w:sz w:val="22"/>
          <w:szCs w:val="28"/>
        </w:rPr>
        <w:t>守恒</w:t>
      </w:r>
      <w:r w:rsidRPr="009A3A60">
        <w:rPr>
          <w:rFonts w:ascii="方正仿宋_GBK" w:eastAsia="方正仿宋_GBK" w:hAnsi="楷体"/>
          <w:sz w:val="22"/>
          <w:szCs w:val="28"/>
        </w:rPr>
        <w:t>闭合开展研究：构造界面压力与法向速度相容离散并统一交换，实现强物性跃变下稳定耦合；</w:t>
      </w:r>
      <w:r>
        <w:rPr>
          <w:rFonts w:ascii="方正仿宋_GBK" w:eastAsia="方正仿宋_GBK" w:hAnsi="楷体" w:hint="eastAsia"/>
          <w:sz w:val="22"/>
          <w:szCs w:val="28"/>
        </w:rPr>
        <w:t>在耦合界面建立</w:t>
      </w:r>
      <w:r w:rsidRPr="009A3A60">
        <w:rPr>
          <w:rFonts w:ascii="方正仿宋_GBK" w:eastAsia="方正仿宋_GBK" w:hAnsi="楷体"/>
          <w:sz w:val="22"/>
          <w:szCs w:val="28"/>
        </w:rPr>
        <w:t>热通量驱动的相变源项与潜热守恒更新，将质量能量与体积源项同层嵌入两相求解；面向</w:t>
      </w:r>
      <w:r>
        <w:rPr>
          <w:rFonts w:ascii="方正仿宋_GBK" w:eastAsia="方正仿宋_GBK" w:hAnsi="楷体" w:hint="eastAsia"/>
          <w:sz w:val="22"/>
          <w:szCs w:val="28"/>
        </w:rPr>
        <w:t>强耦合中的</w:t>
      </w:r>
      <w:r w:rsidRPr="009A3A60">
        <w:rPr>
          <w:rFonts w:ascii="方正仿宋_GBK" w:eastAsia="方正仿宋_GBK" w:hAnsi="楷体"/>
          <w:sz w:val="22"/>
          <w:szCs w:val="28"/>
        </w:rPr>
        <w:t>多尺度推进与体积剧变拓扑更新</w:t>
      </w:r>
      <w:r>
        <w:rPr>
          <w:rFonts w:ascii="方正仿宋_GBK" w:eastAsia="方正仿宋_GBK" w:hAnsi="楷体" w:hint="eastAsia"/>
          <w:sz w:val="22"/>
          <w:szCs w:val="28"/>
        </w:rPr>
        <w:t>，</w:t>
      </w:r>
      <w:r w:rsidRPr="009A3A60">
        <w:rPr>
          <w:rFonts w:ascii="方正仿宋_GBK" w:eastAsia="方正仿宋_GBK" w:hAnsi="楷体"/>
          <w:sz w:val="22"/>
          <w:szCs w:val="28"/>
        </w:rPr>
        <w:t>构建守恒一致转移约束并协同集成。通过分层收敛性分析与典型沸腾算例对比验证，形成可复用算法模块与验证体系，为极端工况下沸腾两相流的可信预测与性能边界评估提供可验证的方法学支撑。</w:t>
      </w:r>
    </w:p>
    <w:p w14:paraId="2A4E0F41" w14:textId="77777777" w:rsidR="00340E97" w:rsidRDefault="00340E97" w:rsidP="009A3A60">
      <w:pPr>
        <w:widowControl/>
        <w:adjustRightInd w:val="0"/>
        <w:snapToGrid w:val="0"/>
        <w:jc w:val="left"/>
        <w:rPr>
          <w:rFonts w:ascii="方正仿宋_GBK" w:eastAsia="方正仿宋_GBK" w:hAnsi="楷体"/>
          <w:sz w:val="22"/>
          <w:szCs w:val="28"/>
        </w:rPr>
      </w:pPr>
    </w:p>
    <w:p w14:paraId="51D2A716" w14:textId="50C93C11" w:rsidR="00340E97" w:rsidRDefault="00340E97" w:rsidP="009A3A60">
      <w:pPr>
        <w:widowControl/>
        <w:adjustRightInd w:val="0"/>
        <w:snapToGrid w:val="0"/>
        <w:jc w:val="left"/>
        <w:rPr>
          <w:rFonts w:ascii="方正仿宋_GBK" w:eastAsia="方正仿宋_GBK" w:hAnsi="楷体"/>
          <w:sz w:val="22"/>
          <w:szCs w:val="28"/>
        </w:rPr>
      </w:pPr>
      <w:r w:rsidRPr="00340E97">
        <w:rPr>
          <w:rFonts w:ascii="方正仿宋_GBK" w:eastAsia="方正仿宋_GBK" w:hAnsi="楷体"/>
          <w:sz w:val="22"/>
          <w:szCs w:val="28"/>
        </w:rPr>
        <w:t>针对航空发动机预冷换热器等高热流密度工况下的流动沸腾过程，强温差与大密度比导致界面传热、相变传质与体积剧变深度耦合，且伴随显著的多时间尺度特征。传统网格法在强耦合条件下界面重构代价高、稳定性差；现有SPH方法多采用界面交换与相变更新的分步处理，跨时间层误差易诱发非物理振荡与能量漂移。</w:t>
      </w:r>
      <w:r w:rsidRPr="00340E97">
        <w:rPr>
          <w:rFonts w:ascii="方正仿宋_GBK" w:eastAsia="方正仿宋_GBK" w:hAnsi="楷体"/>
          <w:b/>
          <w:bCs/>
          <w:sz w:val="22"/>
          <w:szCs w:val="28"/>
        </w:rPr>
        <w:t>为此，本项目拟建立沸腾两相流不可压/可压SPH守恒一致性耦合方法，重点研究跨相质量、动量与能量的守恒闭合机制。</w:t>
      </w:r>
      <w:r w:rsidRPr="00340E97">
        <w:rPr>
          <w:rFonts w:ascii="方正仿宋_GBK" w:eastAsia="方正仿宋_GBK" w:hAnsi="楷体"/>
          <w:sz w:val="22"/>
          <w:szCs w:val="28"/>
        </w:rPr>
        <w:t xml:space="preserve"> 首先，构造界面压力与法向速度相容的离散交换机制，实现强物性跃变下的稳健耦合并抑制相间掺混 ；其次，建立热通量驱动的相变源项与潜热守恒</w:t>
      </w:r>
      <w:r w:rsidRPr="00340E97">
        <w:rPr>
          <w:rFonts w:ascii="方正仿宋_GBK" w:eastAsia="方正仿宋_GBK" w:hAnsi="楷体"/>
          <w:sz w:val="22"/>
          <w:szCs w:val="28"/>
        </w:rPr>
        <w:lastRenderedPageBreak/>
        <w:t>更新策略，将质量、能量与体积源项在同步节点</w:t>
      </w:r>
      <w:r w:rsidRPr="00340E97">
        <w:rPr>
          <w:rFonts w:ascii="方正仿宋_GBK" w:eastAsia="方正仿宋_GBK" w:hAnsi="楷体"/>
          <w:sz w:val="22"/>
          <w:szCs w:val="28"/>
        </w:rPr>
        <w:t>“</w:t>
      </w:r>
      <w:r w:rsidRPr="00340E97">
        <w:rPr>
          <w:rFonts w:ascii="方正仿宋_GBK" w:eastAsia="方正仿宋_GBK" w:hAnsi="楷体"/>
          <w:sz w:val="22"/>
          <w:szCs w:val="28"/>
        </w:rPr>
        <w:t>同层嵌入</w:t>
      </w:r>
      <w:r w:rsidRPr="00340E97">
        <w:rPr>
          <w:rFonts w:ascii="方正仿宋_GBK" w:eastAsia="方正仿宋_GBK" w:hAnsi="楷体"/>
          <w:sz w:val="22"/>
          <w:szCs w:val="28"/>
        </w:rPr>
        <w:t>”</w:t>
      </w:r>
      <w:r w:rsidRPr="00340E97">
        <w:rPr>
          <w:rFonts w:ascii="方正仿宋_GBK" w:eastAsia="方正仿宋_GBK" w:hAnsi="楷体"/>
          <w:sz w:val="22"/>
          <w:szCs w:val="28"/>
        </w:rPr>
        <w:t>求解以消除跨层漂移；最后，发展带守恒约束的粒子分裂合并拓扑更新与多速率时间推进框架，实现体积剧变下粒子分布的自适应优化 。通过分层收敛性测试与典型算例验证，形成可复用的算法模块与验证流程，为极端工况下沸腾两相流的可信预测与性能边界评估提供方法学支撑。</w:t>
      </w:r>
    </w:p>
    <w:p w14:paraId="57316CD7" w14:textId="77777777" w:rsidR="00340E97" w:rsidRDefault="00340E97" w:rsidP="009A3A60">
      <w:pPr>
        <w:widowControl/>
        <w:adjustRightInd w:val="0"/>
        <w:snapToGrid w:val="0"/>
        <w:jc w:val="left"/>
        <w:rPr>
          <w:rFonts w:ascii="方正仿宋_GBK" w:eastAsia="方正仿宋_GBK" w:hAnsi="楷体"/>
          <w:sz w:val="22"/>
          <w:szCs w:val="28"/>
        </w:rPr>
      </w:pPr>
    </w:p>
    <w:p w14:paraId="3549246D" w14:textId="56DB4527" w:rsidR="00340E97" w:rsidRDefault="00340E97" w:rsidP="009A3A60">
      <w:pPr>
        <w:widowControl/>
        <w:adjustRightInd w:val="0"/>
        <w:snapToGrid w:val="0"/>
        <w:jc w:val="left"/>
        <w:rPr>
          <w:rFonts w:ascii="方正仿宋_GBK" w:eastAsia="方正仿宋_GBK" w:hAnsi="楷体"/>
          <w:sz w:val="22"/>
          <w:szCs w:val="28"/>
        </w:rPr>
      </w:pPr>
      <w:r w:rsidRPr="00340E97">
        <w:rPr>
          <w:rFonts w:ascii="方正仿宋_GBK" w:eastAsia="方正仿宋_GBK" w:hAnsi="楷体"/>
          <w:sz w:val="22"/>
          <w:szCs w:val="28"/>
        </w:rPr>
        <w:t>面向紧凑空间内极高热负荷下的流动沸腾预测需求，界面传热驱动的相变质量转化与显著体积变化构成了强非线性耦合难题。现有SPH方法由于界面动量交换、热质闭合与粒子拓扑调整在离散层面的不匹配，难以保证严格的守恒性与热力学一致性，制约了其在极端工况下的预测信度 。</w:t>
      </w:r>
      <w:r w:rsidRPr="00340E97">
        <w:rPr>
          <w:rFonts w:ascii="方正仿宋_GBK" w:eastAsia="方正仿宋_GBK" w:hAnsi="楷体"/>
          <w:b/>
          <w:bCs/>
          <w:sz w:val="22"/>
          <w:szCs w:val="28"/>
        </w:rPr>
        <w:t>本项目旨在通过建立守恒一致的不可压/可压SPH耦合求解框架，攻克这一瓶颈。</w:t>
      </w:r>
      <w:r w:rsidRPr="00340E97">
        <w:rPr>
          <w:rFonts w:ascii="方正仿宋_GBK" w:eastAsia="方正仿宋_GBK" w:hAnsi="楷体"/>
          <w:sz w:val="22"/>
          <w:szCs w:val="28"/>
        </w:rPr>
        <w:t xml:space="preserve"> 研究内容包括：构造压力-速度约束相容的界面离散算子，从底层抑制界面数值噪声；建立</w:t>
      </w:r>
      <w:r w:rsidRPr="00340E97">
        <w:rPr>
          <w:rFonts w:ascii="方正仿宋_GBK" w:eastAsia="方正仿宋_GBK" w:hAnsi="楷体"/>
          <w:sz w:val="22"/>
          <w:szCs w:val="28"/>
        </w:rPr>
        <w:t>“</w:t>
      </w:r>
      <w:r w:rsidRPr="00340E97">
        <w:rPr>
          <w:rFonts w:ascii="方正仿宋_GBK" w:eastAsia="方正仿宋_GBK" w:hAnsi="楷体"/>
          <w:sz w:val="22"/>
          <w:szCs w:val="28"/>
        </w:rPr>
        <w:t>热质能同步闭合</w:t>
      </w:r>
      <w:r w:rsidRPr="00340E97">
        <w:rPr>
          <w:rFonts w:ascii="方正仿宋_GBK" w:eastAsia="方正仿宋_GBK" w:hAnsi="楷体"/>
          <w:sz w:val="22"/>
          <w:szCs w:val="28"/>
        </w:rPr>
        <w:t>”</w:t>
      </w:r>
      <w:r w:rsidRPr="00340E97">
        <w:rPr>
          <w:rFonts w:ascii="方正仿宋_GBK" w:eastAsia="方正仿宋_GBK" w:hAnsi="楷体"/>
          <w:sz w:val="22"/>
          <w:szCs w:val="28"/>
        </w:rPr>
        <w:t>的相变更新协议，确保潜热交换与源项演化在同一时间层内严格守恒，从根源上消除能量漂移；构建耦合在线一致性指标的粒子重构方法，协同多速率推进技术解决体积剧变下的计算稳定性 。本项目不仅关注算法精度提升，更强调建立一套可验证的沸腾两相流数值评价体系，预期成果将提升复杂相变过程模拟的鲁棒性，为航天动力装备的热管理设计提供高保真数值工具。</w:t>
      </w:r>
    </w:p>
    <w:p w14:paraId="0F9EF1C8" w14:textId="77777777" w:rsidR="00930310" w:rsidRDefault="00930310" w:rsidP="009A3A60">
      <w:pPr>
        <w:widowControl/>
        <w:adjustRightInd w:val="0"/>
        <w:snapToGrid w:val="0"/>
        <w:jc w:val="left"/>
        <w:rPr>
          <w:rFonts w:ascii="方正仿宋_GBK" w:eastAsia="方正仿宋_GBK" w:hAnsi="楷体"/>
          <w:sz w:val="22"/>
          <w:szCs w:val="28"/>
        </w:rPr>
      </w:pPr>
    </w:p>
    <w:p w14:paraId="3D9593B3" w14:textId="77777777" w:rsidR="00930310" w:rsidRDefault="00930310" w:rsidP="009A3A60">
      <w:pPr>
        <w:widowControl/>
        <w:adjustRightInd w:val="0"/>
        <w:snapToGrid w:val="0"/>
        <w:jc w:val="left"/>
        <w:rPr>
          <w:rFonts w:ascii="方正仿宋_GBK" w:eastAsia="方正仿宋_GBK" w:hAnsi="楷体"/>
          <w:sz w:val="22"/>
          <w:szCs w:val="28"/>
        </w:rPr>
      </w:pPr>
    </w:p>
    <w:p w14:paraId="5119DD31" w14:textId="6D2200E6" w:rsidR="00930310" w:rsidRDefault="00930310" w:rsidP="009A3A60">
      <w:pPr>
        <w:widowControl/>
        <w:adjustRightInd w:val="0"/>
        <w:snapToGrid w:val="0"/>
        <w:jc w:val="left"/>
        <w:rPr>
          <w:rFonts w:ascii="方正仿宋_GBK" w:eastAsia="方正仿宋_GBK" w:hAnsi="楷体"/>
          <w:sz w:val="22"/>
          <w:szCs w:val="28"/>
        </w:rPr>
      </w:pPr>
      <w:r>
        <w:rPr>
          <w:rFonts w:ascii="方正仿宋_GBK" w:eastAsia="方正仿宋_GBK" w:hAnsi="楷体" w:hint="eastAsia"/>
          <w:sz w:val="22"/>
          <w:szCs w:val="28"/>
        </w:rPr>
        <w:t xml:space="preserve">科技服务 科技创新 </w:t>
      </w:r>
    </w:p>
    <w:p w14:paraId="4EF5541E" w14:textId="752C6013" w:rsidR="00930310" w:rsidRDefault="00930310" w:rsidP="009A3A60">
      <w:pPr>
        <w:widowControl/>
        <w:adjustRightInd w:val="0"/>
        <w:snapToGrid w:val="0"/>
        <w:jc w:val="left"/>
        <w:rPr>
          <w:rFonts w:ascii="方正仿宋_GBK" w:eastAsia="方正仿宋_GBK" w:hAnsi="楷体"/>
          <w:sz w:val="22"/>
          <w:szCs w:val="28"/>
        </w:rPr>
      </w:pPr>
      <w:r>
        <w:rPr>
          <w:rFonts w:ascii="方正仿宋_GBK" w:eastAsia="方正仿宋_GBK" w:hAnsi="楷体" w:hint="eastAsia"/>
          <w:sz w:val="22"/>
          <w:szCs w:val="28"/>
        </w:rPr>
        <w:t>航院-尤延铖教授团队-青年文明号-</w:t>
      </w:r>
    </w:p>
    <w:p w14:paraId="4C3E5BDE" w14:textId="77777777" w:rsidR="00046919" w:rsidRDefault="00046919" w:rsidP="009A3A60">
      <w:pPr>
        <w:widowControl/>
        <w:adjustRightInd w:val="0"/>
        <w:snapToGrid w:val="0"/>
        <w:jc w:val="left"/>
        <w:rPr>
          <w:rFonts w:ascii="方正仿宋_GBK" w:eastAsia="方正仿宋_GBK" w:hAnsi="楷体"/>
          <w:sz w:val="22"/>
          <w:szCs w:val="28"/>
        </w:rPr>
      </w:pPr>
    </w:p>
    <w:p w14:paraId="21924264" w14:textId="77777777" w:rsidR="00046919" w:rsidRDefault="00046919" w:rsidP="009A3A60">
      <w:pPr>
        <w:widowControl/>
        <w:adjustRightInd w:val="0"/>
        <w:snapToGrid w:val="0"/>
        <w:jc w:val="left"/>
        <w:rPr>
          <w:rFonts w:ascii="方正仿宋_GBK" w:eastAsia="方正仿宋_GBK" w:hAnsi="楷体"/>
          <w:sz w:val="22"/>
          <w:szCs w:val="28"/>
        </w:rPr>
      </w:pPr>
    </w:p>
    <w:p w14:paraId="26B83F02" w14:textId="77777777" w:rsidR="00046919" w:rsidRPr="000D2869" w:rsidRDefault="00046919" w:rsidP="009A3A60">
      <w:pPr>
        <w:widowControl/>
        <w:adjustRightInd w:val="0"/>
        <w:snapToGrid w:val="0"/>
        <w:jc w:val="left"/>
        <w:rPr>
          <w:rFonts w:ascii="方正仿宋_GBK" w:eastAsia="方正仿宋_GBK" w:hAnsi="楷体" w:hint="eastAsia"/>
          <w:sz w:val="22"/>
          <w:szCs w:val="28"/>
        </w:rPr>
      </w:pPr>
    </w:p>
    <w:p w14:paraId="03A0B10B" w14:textId="40528710" w:rsidR="009A3A60" w:rsidRPr="009A3A60" w:rsidRDefault="009A3A60" w:rsidP="005A1B51">
      <w:pPr>
        <w:widowControl/>
        <w:adjustRightInd w:val="0"/>
        <w:snapToGrid w:val="0"/>
        <w:jc w:val="left"/>
        <w:rPr>
          <w:rFonts w:ascii="方正仿宋_GBK" w:eastAsia="方正仿宋_GBK" w:hAnsi="楷体"/>
          <w:sz w:val="22"/>
          <w:szCs w:val="28"/>
        </w:rPr>
      </w:pPr>
    </w:p>
    <w:p w14:paraId="5C12354C" w14:textId="39145897" w:rsidR="009A3A60" w:rsidRPr="00D81DB4" w:rsidRDefault="009A3A60" w:rsidP="005A1B51">
      <w:pPr>
        <w:widowControl/>
        <w:adjustRightInd w:val="0"/>
        <w:snapToGrid w:val="0"/>
        <w:jc w:val="left"/>
        <w:rPr>
          <w:rFonts w:ascii="方正仿宋_GBK" w:eastAsia="方正仿宋_GBK" w:hAnsi="楷体" w:hint="eastAsia"/>
          <w:sz w:val="22"/>
          <w:szCs w:val="28"/>
        </w:rPr>
      </w:pPr>
    </w:p>
    <w:sectPr w:rsidR="009A3A60" w:rsidRPr="00D81D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81B60C" w14:textId="77777777" w:rsidR="004931D3" w:rsidRDefault="004931D3" w:rsidP="000F0C98">
      <w:pPr>
        <w:rPr>
          <w:rFonts w:hint="eastAsia"/>
        </w:rPr>
      </w:pPr>
      <w:r>
        <w:separator/>
      </w:r>
    </w:p>
  </w:endnote>
  <w:endnote w:type="continuationSeparator" w:id="0">
    <w:p w14:paraId="601560A1" w14:textId="77777777" w:rsidR="004931D3" w:rsidRDefault="004931D3" w:rsidP="000F0C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un-ExtA">
    <w:altName w:val="Cambria"/>
    <w:panose1 w:val="00000000000000000000"/>
    <w:charset w:val="00"/>
    <w:family w:val="roman"/>
    <w:notTrueType/>
    <w:pitch w:val="default"/>
  </w:font>
  <w:font w:name="方正仿宋_GBK">
    <w:panose1 w:val="03000509000000000000"/>
    <w:charset w:val="86"/>
    <w:family w:val="script"/>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20774C" w14:textId="77777777" w:rsidR="004931D3" w:rsidRDefault="004931D3" w:rsidP="000F0C98">
      <w:pPr>
        <w:rPr>
          <w:rFonts w:hint="eastAsia"/>
        </w:rPr>
      </w:pPr>
      <w:r>
        <w:separator/>
      </w:r>
    </w:p>
  </w:footnote>
  <w:footnote w:type="continuationSeparator" w:id="0">
    <w:p w14:paraId="4D4191BC" w14:textId="77777777" w:rsidR="004931D3" w:rsidRDefault="004931D3" w:rsidP="000F0C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9262D0"/>
    <w:multiLevelType w:val="hybridMultilevel"/>
    <w:tmpl w:val="3F16A362"/>
    <w:lvl w:ilvl="0" w:tplc="6D68BFEA">
      <w:start w:val="1"/>
      <w:numFmt w:val="bullet"/>
      <w:lvlText w:val=""/>
      <w:lvlJc w:val="left"/>
      <w:pPr>
        <w:tabs>
          <w:tab w:val="num" w:pos="720"/>
        </w:tabs>
        <w:ind w:left="720" w:hanging="360"/>
      </w:pPr>
      <w:rPr>
        <w:rFonts w:ascii="Wingdings" w:hAnsi="Wingdings" w:hint="default"/>
      </w:rPr>
    </w:lvl>
    <w:lvl w:ilvl="1" w:tplc="16285028">
      <w:start w:val="1"/>
      <w:numFmt w:val="bullet"/>
      <w:lvlText w:val=""/>
      <w:lvlJc w:val="left"/>
      <w:pPr>
        <w:tabs>
          <w:tab w:val="num" w:pos="1440"/>
        </w:tabs>
        <w:ind w:left="1440" w:hanging="360"/>
      </w:pPr>
      <w:rPr>
        <w:rFonts w:ascii="Wingdings" w:hAnsi="Wingdings" w:hint="default"/>
      </w:rPr>
    </w:lvl>
    <w:lvl w:ilvl="2" w:tplc="6F78ED3E" w:tentative="1">
      <w:start w:val="1"/>
      <w:numFmt w:val="bullet"/>
      <w:lvlText w:val=""/>
      <w:lvlJc w:val="left"/>
      <w:pPr>
        <w:tabs>
          <w:tab w:val="num" w:pos="2160"/>
        </w:tabs>
        <w:ind w:left="2160" w:hanging="360"/>
      </w:pPr>
      <w:rPr>
        <w:rFonts w:ascii="Wingdings" w:hAnsi="Wingdings" w:hint="default"/>
      </w:rPr>
    </w:lvl>
    <w:lvl w:ilvl="3" w:tplc="0CFA425A" w:tentative="1">
      <w:start w:val="1"/>
      <w:numFmt w:val="bullet"/>
      <w:lvlText w:val=""/>
      <w:lvlJc w:val="left"/>
      <w:pPr>
        <w:tabs>
          <w:tab w:val="num" w:pos="2880"/>
        </w:tabs>
        <w:ind w:left="2880" w:hanging="360"/>
      </w:pPr>
      <w:rPr>
        <w:rFonts w:ascii="Wingdings" w:hAnsi="Wingdings" w:hint="default"/>
      </w:rPr>
    </w:lvl>
    <w:lvl w:ilvl="4" w:tplc="DCCAC6BC" w:tentative="1">
      <w:start w:val="1"/>
      <w:numFmt w:val="bullet"/>
      <w:lvlText w:val=""/>
      <w:lvlJc w:val="left"/>
      <w:pPr>
        <w:tabs>
          <w:tab w:val="num" w:pos="3600"/>
        </w:tabs>
        <w:ind w:left="3600" w:hanging="360"/>
      </w:pPr>
      <w:rPr>
        <w:rFonts w:ascii="Wingdings" w:hAnsi="Wingdings" w:hint="default"/>
      </w:rPr>
    </w:lvl>
    <w:lvl w:ilvl="5" w:tplc="8E3887B6" w:tentative="1">
      <w:start w:val="1"/>
      <w:numFmt w:val="bullet"/>
      <w:lvlText w:val=""/>
      <w:lvlJc w:val="left"/>
      <w:pPr>
        <w:tabs>
          <w:tab w:val="num" w:pos="4320"/>
        </w:tabs>
        <w:ind w:left="4320" w:hanging="360"/>
      </w:pPr>
      <w:rPr>
        <w:rFonts w:ascii="Wingdings" w:hAnsi="Wingdings" w:hint="default"/>
      </w:rPr>
    </w:lvl>
    <w:lvl w:ilvl="6" w:tplc="B52622A6" w:tentative="1">
      <w:start w:val="1"/>
      <w:numFmt w:val="bullet"/>
      <w:lvlText w:val=""/>
      <w:lvlJc w:val="left"/>
      <w:pPr>
        <w:tabs>
          <w:tab w:val="num" w:pos="5040"/>
        </w:tabs>
        <w:ind w:left="5040" w:hanging="360"/>
      </w:pPr>
      <w:rPr>
        <w:rFonts w:ascii="Wingdings" w:hAnsi="Wingdings" w:hint="default"/>
      </w:rPr>
    </w:lvl>
    <w:lvl w:ilvl="7" w:tplc="8368B936" w:tentative="1">
      <w:start w:val="1"/>
      <w:numFmt w:val="bullet"/>
      <w:lvlText w:val=""/>
      <w:lvlJc w:val="left"/>
      <w:pPr>
        <w:tabs>
          <w:tab w:val="num" w:pos="5760"/>
        </w:tabs>
        <w:ind w:left="5760" w:hanging="360"/>
      </w:pPr>
      <w:rPr>
        <w:rFonts w:ascii="Wingdings" w:hAnsi="Wingdings" w:hint="default"/>
      </w:rPr>
    </w:lvl>
    <w:lvl w:ilvl="8" w:tplc="E676BF5C"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7E77E17"/>
    <w:multiLevelType w:val="multilevel"/>
    <w:tmpl w:val="2AD0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8337A1"/>
    <w:multiLevelType w:val="multilevel"/>
    <w:tmpl w:val="A696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371D2"/>
    <w:multiLevelType w:val="hybridMultilevel"/>
    <w:tmpl w:val="66BCA9BE"/>
    <w:lvl w:ilvl="0" w:tplc="5ABC70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176112A"/>
    <w:multiLevelType w:val="hybridMultilevel"/>
    <w:tmpl w:val="70E0A7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43C6961"/>
    <w:multiLevelType w:val="multilevel"/>
    <w:tmpl w:val="06B2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E13A62"/>
    <w:multiLevelType w:val="multilevel"/>
    <w:tmpl w:val="070E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3B2A04"/>
    <w:multiLevelType w:val="multilevel"/>
    <w:tmpl w:val="2D22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706456">
    <w:abstractNumId w:val="4"/>
  </w:num>
  <w:num w:numId="2" w16cid:durableId="95293645">
    <w:abstractNumId w:val="3"/>
  </w:num>
  <w:num w:numId="3" w16cid:durableId="1068721811">
    <w:abstractNumId w:val="6"/>
  </w:num>
  <w:num w:numId="4" w16cid:durableId="51462806">
    <w:abstractNumId w:val="5"/>
  </w:num>
  <w:num w:numId="5" w16cid:durableId="1208831158">
    <w:abstractNumId w:val="1"/>
  </w:num>
  <w:num w:numId="6" w16cid:durableId="1797092389">
    <w:abstractNumId w:val="2"/>
  </w:num>
  <w:num w:numId="7" w16cid:durableId="613169324">
    <w:abstractNumId w:val="7"/>
  </w:num>
  <w:num w:numId="8" w16cid:durableId="1542134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182"/>
    <w:rsid w:val="00013823"/>
    <w:rsid w:val="00046919"/>
    <w:rsid w:val="00071D86"/>
    <w:rsid w:val="000D2869"/>
    <w:rsid w:val="000F0C98"/>
    <w:rsid w:val="001279D5"/>
    <w:rsid w:val="001968CA"/>
    <w:rsid w:val="001A25F3"/>
    <w:rsid w:val="00330ACC"/>
    <w:rsid w:val="00340E97"/>
    <w:rsid w:val="00344EBD"/>
    <w:rsid w:val="0037617B"/>
    <w:rsid w:val="004931D3"/>
    <w:rsid w:val="004B083E"/>
    <w:rsid w:val="00512076"/>
    <w:rsid w:val="005A1B51"/>
    <w:rsid w:val="006C4ED4"/>
    <w:rsid w:val="006F6130"/>
    <w:rsid w:val="00771A9E"/>
    <w:rsid w:val="007867FC"/>
    <w:rsid w:val="007A7C43"/>
    <w:rsid w:val="007F22D8"/>
    <w:rsid w:val="00865E2F"/>
    <w:rsid w:val="008A1127"/>
    <w:rsid w:val="008E224D"/>
    <w:rsid w:val="008F41D0"/>
    <w:rsid w:val="008F6767"/>
    <w:rsid w:val="00930310"/>
    <w:rsid w:val="00951FC8"/>
    <w:rsid w:val="00987E51"/>
    <w:rsid w:val="009A3A60"/>
    <w:rsid w:val="009D21B4"/>
    <w:rsid w:val="00A81544"/>
    <w:rsid w:val="00AA1921"/>
    <w:rsid w:val="00B26C0D"/>
    <w:rsid w:val="00B8080A"/>
    <w:rsid w:val="00BB1FB8"/>
    <w:rsid w:val="00C82A5E"/>
    <w:rsid w:val="00CF6977"/>
    <w:rsid w:val="00D33E8D"/>
    <w:rsid w:val="00D5090A"/>
    <w:rsid w:val="00D81DB4"/>
    <w:rsid w:val="00DC3182"/>
    <w:rsid w:val="00DD17CF"/>
    <w:rsid w:val="00F452A8"/>
    <w:rsid w:val="00FE46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ACBC3A"/>
  <w15:chartTrackingRefBased/>
  <w15:docId w15:val="{D5219BA2-9CE6-4AEF-97C4-45F19B9AB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617B"/>
    <w:pPr>
      <w:widowControl w:val="0"/>
      <w:jc w:val="both"/>
    </w:pPr>
    <w:rPr>
      <w:sz w:val="24"/>
      <w:szCs w:val="24"/>
    </w:rPr>
  </w:style>
  <w:style w:type="paragraph" w:styleId="1">
    <w:name w:val="heading 1"/>
    <w:basedOn w:val="a"/>
    <w:next w:val="a"/>
    <w:link w:val="10"/>
    <w:uiPriority w:val="9"/>
    <w:qFormat/>
    <w:rsid w:val="00DC318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C318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C318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C318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C3182"/>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C318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C318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318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C3182"/>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318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C318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C318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C3182"/>
    <w:rPr>
      <w:rFonts w:cstheme="majorBidi"/>
      <w:color w:val="2F5496" w:themeColor="accent1" w:themeShade="BF"/>
      <w:sz w:val="28"/>
      <w:szCs w:val="28"/>
    </w:rPr>
  </w:style>
  <w:style w:type="character" w:customStyle="1" w:styleId="50">
    <w:name w:val="标题 5 字符"/>
    <w:basedOn w:val="a0"/>
    <w:link w:val="5"/>
    <w:uiPriority w:val="9"/>
    <w:semiHidden/>
    <w:rsid w:val="00DC3182"/>
    <w:rPr>
      <w:rFonts w:cstheme="majorBidi"/>
      <w:color w:val="2F5496" w:themeColor="accent1" w:themeShade="BF"/>
      <w:sz w:val="24"/>
      <w:szCs w:val="24"/>
    </w:rPr>
  </w:style>
  <w:style w:type="character" w:customStyle="1" w:styleId="60">
    <w:name w:val="标题 6 字符"/>
    <w:basedOn w:val="a0"/>
    <w:link w:val="6"/>
    <w:uiPriority w:val="9"/>
    <w:semiHidden/>
    <w:rsid w:val="00DC3182"/>
    <w:rPr>
      <w:rFonts w:cstheme="majorBidi"/>
      <w:b/>
      <w:bCs/>
      <w:color w:val="2F5496" w:themeColor="accent1" w:themeShade="BF"/>
    </w:rPr>
  </w:style>
  <w:style w:type="character" w:customStyle="1" w:styleId="70">
    <w:name w:val="标题 7 字符"/>
    <w:basedOn w:val="a0"/>
    <w:link w:val="7"/>
    <w:uiPriority w:val="9"/>
    <w:semiHidden/>
    <w:rsid w:val="00DC3182"/>
    <w:rPr>
      <w:rFonts w:cstheme="majorBidi"/>
      <w:b/>
      <w:bCs/>
      <w:color w:val="595959" w:themeColor="text1" w:themeTint="A6"/>
    </w:rPr>
  </w:style>
  <w:style w:type="character" w:customStyle="1" w:styleId="80">
    <w:name w:val="标题 8 字符"/>
    <w:basedOn w:val="a0"/>
    <w:link w:val="8"/>
    <w:uiPriority w:val="9"/>
    <w:semiHidden/>
    <w:rsid w:val="00DC3182"/>
    <w:rPr>
      <w:rFonts w:cstheme="majorBidi"/>
      <w:color w:val="595959" w:themeColor="text1" w:themeTint="A6"/>
    </w:rPr>
  </w:style>
  <w:style w:type="character" w:customStyle="1" w:styleId="90">
    <w:name w:val="标题 9 字符"/>
    <w:basedOn w:val="a0"/>
    <w:link w:val="9"/>
    <w:uiPriority w:val="9"/>
    <w:semiHidden/>
    <w:rsid w:val="00DC3182"/>
    <w:rPr>
      <w:rFonts w:eastAsiaTheme="majorEastAsia" w:cstheme="majorBidi"/>
      <w:color w:val="595959" w:themeColor="text1" w:themeTint="A6"/>
    </w:rPr>
  </w:style>
  <w:style w:type="paragraph" w:styleId="a3">
    <w:name w:val="Title"/>
    <w:basedOn w:val="a"/>
    <w:next w:val="a"/>
    <w:link w:val="a4"/>
    <w:uiPriority w:val="10"/>
    <w:qFormat/>
    <w:rsid w:val="00DC318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318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318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318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3182"/>
    <w:pPr>
      <w:spacing w:before="160" w:after="160"/>
      <w:jc w:val="center"/>
    </w:pPr>
    <w:rPr>
      <w:i/>
      <w:iCs/>
      <w:color w:val="404040" w:themeColor="text1" w:themeTint="BF"/>
    </w:rPr>
  </w:style>
  <w:style w:type="character" w:customStyle="1" w:styleId="a8">
    <w:name w:val="引用 字符"/>
    <w:basedOn w:val="a0"/>
    <w:link w:val="a7"/>
    <w:uiPriority w:val="29"/>
    <w:rsid w:val="00DC3182"/>
    <w:rPr>
      <w:i/>
      <w:iCs/>
      <w:color w:val="404040" w:themeColor="text1" w:themeTint="BF"/>
    </w:rPr>
  </w:style>
  <w:style w:type="paragraph" w:styleId="a9">
    <w:name w:val="List Paragraph"/>
    <w:basedOn w:val="a"/>
    <w:uiPriority w:val="34"/>
    <w:qFormat/>
    <w:rsid w:val="00DC3182"/>
    <w:pPr>
      <w:ind w:left="720"/>
      <w:contextualSpacing/>
    </w:pPr>
  </w:style>
  <w:style w:type="character" w:styleId="aa">
    <w:name w:val="Intense Emphasis"/>
    <w:basedOn w:val="a0"/>
    <w:uiPriority w:val="21"/>
    <w:qFormat/>
    <w:rsid w:val="00DC3182"/>
    <w:rPr>
      <w:i/>
      <w:iCs/>
      <w:color w:val="2F5496" w:themeColor="accent1" w:themeShade="BF"/>
    </w:rPr>
  </w:style>
  <w:style w:type="paragraph" w:styleId="ab">
    <w:name w:val="Intense Quote"/>
    <w:basedOn w:val="a"/>
    <w:next w:val="a"/>
    <w:link w:val="ac"/>
    <w:uiPriority w:val="30"/>
    <w:qFormat/>
    <w:rsid w:val="00DC31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C3182"/>
    <w:rPr>
      <w:i/>
      <w:iCs/>
      <w:color w:val="2F5496" w:themeColor="accent1" w:themeShade="BF"/>
    </w:rPr>
  </w:style>
  <w:style w:type="character" w:styleId="ad">
    <w:name w:val="Intense Reference"/>
    <w:basedOn w:val="a0"/>
    <w:uiPriority w:val="32"/>
    <w:qFormat/>
    <w:rsid w:val="00DC3182"/>
    <w:rPr>
      <w:b/>
      <w:bCs/>
      <w:smallCaps/>
      <w:color w:val="2F5496" w:themeColor="accent1" w:themeShade="BF"/>
      <w:spacing w:val="5"/>
    </w:rPr>
  </w:style>
  <w:style w:type="paragraph" w:styleId="ae">
    <w:name w:val="header"/>
    <w:basedOn w:val="a"/>
    <w:link w:val="af"/>
    <w:uiPriority w:val="99"/>
    <w:unhideWhenUsed/>
    <w:rsid w:val="000F0C98"/>
    <w:pPr>
      <w:tabs>
        <w:tab w:val="center" w:pos="4153"/>
        <w:tab w:val="right" w:pos="8306"/>
      </w:tabs>
      <w:snapToGrid w:val="0"/>
      <w:jc w:val="center"/>
    </w:pPr>
    <w:rPr>
      <w:sz w:val="18"/>
      <w:szCs w:val="18"/>
    </w:rPr>
  </w:style>
  <w:style w:type="character" w:customStyle="1" w:styleId="af">
    <w:name w:val="页眉 字符"/>
    <w:basedOn w:val="a0"/>
    <w:link w:val="ae"/>
    <w:uiPriority w:val="99"/>
    <w:rsid w:val="000F0C98"/>
    <w:rPr>
      <w:sz w:val="18"/>
      <w:szCs w:val="18"/>
    </w:rPr>
  </w:style>
  <w:style w:type="paragraph" w:styleId="af0">
    <w:name w:val="footer"/>
    <w:basedOn w:val="a"/>
    <w:link w:val="af1"/>
    <w:uiPriority w:val="99"/>
    <w:unhideWhenUsed/>
    <w:rsid w:val="000F0C98"/>
    <w:pPr>
      <w:tabs>
        <w:tab w:val="center" w:pos="4153"/>
        <w:tab w:val="right" w:pos="8306"/>
      </w:tabs>
      <w:snapToGrid w:val="0"/>
      <w:jc w:val="left"/>
    </w:pPr>
    <w:rPr>
      <w:sz w:val="18"/>
      <w:szCs w:val="18"/>
    </w:rPr>
  </w:style>
  <w:style w:type="character" w:customStyle="1" w:styleId="af1">
    <w:name w:val="页脚 字符"/>
    <w:basedOn w:val="a0"/>
    <w:link w:val="af0"/>
    <w:uiPriority w:val="99"/>
    <w:rsid w:val="000F0C98"/>
    <w:rPr>
      <w:sz w:val="18"/>
      <w:szCs w:val="18"/>
    </w:rPr>
  </w:style>
  <w:style w:type="character" w:customStyle="1" w:styleId="fontstyle01">
    <w:name w:val="fontstyle01"/>
    <w:basedOn w:val="a0"/>
    <w:rsid w:val="004B083E"/>
    <w:rPr>
      <w:rFonts w:ascii="Sun-ExtA" w:hAnsi="Sun-ExtA"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095044">
      <w:bodyDiv w:val="1"/>
      <w:marLeft w:val="0"/>
      <w:marRight w:val="0"/>
      <w:marTop w:val="0"/>
      <w:marBottom w:val="0"/>
      <w:divBdr>
        <w:top w:val="none" w:sz="0" w:space="0" w:color="auto"/>
        <w:left w:val="none" w:sz="0" w:space="0" w:color="auto"/>
        <w:bottom w:val="none" w:sz="0" w:space="0" w:color="auto"/>
        <w:right w:val="none" w:sz="0" w:space="0" w:color="auto"/>
      </w:divBdr>
    </w:div>
    <w:div w:id="209003307">
      <w:bodyDiv w:val="1"/>
      <w:marLeft w:val="0"/>
      <w:marRight w:val="0"/>
      <w:marTop w:val="0"/>
      <w:marBottom w:val="0"/>
      <w:divBdr>
        <w:top w:val="none" w:sz="0" w:space="0" w:color="auto"/>
        <w:left w:val="none" w:sz="0" w:space="0" w:color="auto"/>
        <w:bottom w:val="none" w:sz="0" w:space="0" w:color="auto"/>
        <w:right w:val="none" w:sz="0" w:space="0" w:color="auto"/>
      </w:divBdr>
    </w:div>
    <w:div w:id="296686354">
      <w:bodyDiv w:val="1"/>
      <w:marLeft w:val="0"/>
      <w:marRight w:val="0"/>
      <w:marTop w:val="0"/>
      <w:marBottom w:val="0"/>
      <w:divBdr>
        <w:top w:val="none" w:sz="0" w:space="0" w:color="auto"/>
        <w:left w:val="none" w:sz="0" w:space="0" w:color="auto"/>
        <w:bottom w:val="none" w:sz="0" w:space="0" w:color="auto"/>
        <w:right w:val="none" w:sz="0" w:space="0" w:color="auto"/>
      </w:divBdr>
    </w:div>
    <w:div w:id="636644745">
      <w:bodyDiv w:val="1"/>
      <w:marLeft w:val="0"/>
      <w:marRight w:val="0"/>
      <w:marTop w:val="0"/>
      <w:marBottom w:val="0"/>
      <w:divBdr>
        <w:top w:val="none" w:sz="0" w:space="0" w:color="auto"/>
        <w:left w:val="none" w:sz="0" w:space="0" w:color="auto"/>
        <w:bottom w:val="none" w:sz="0" w:space="0" w:color="auto"/>
        <w:right w:val="none" w:sz="0" w:space="0" w:color="auto"/>
      </w:divBdr>
      <w:divsChild>
        <w:div w:id="1103914447">
          <w:marLeft w:val="0"/>
          <w:marRight w:val="0"/>
          <w:marTop w:val="0"/>
          <w:marBottom w:val="0"/>
          <w:divBdr>
            <w:top w:val="none" w:sz="0" w:space="0" w:color="auto"/>
            <w:left w:val="none" w:sz="0" w:space="0" w:color="auto"/>
            <w:bottom w:val="none" w:sz="0" w:space="0" w:color="auto"/>
            <w:right w:val="none" w:sz="0" w:space="0" w:color="auto"/>
          </w:divBdr>
        </w:div>
        <w:div w:id="1270312331">
          <w:marLeft w:val="0"/>
          <w:marRight w:val="0"/>
          <w:marTop w:val="0"/>
          <w:marBottom w:val="0"/>
          <w:divBdr>
            <w:top w:val="none" w:sz="0" w:space="0" w:color="auto"/>
            <w:left w:val="none" w:sz="0" w:space="0" w:color="auto"/>
            <w:bottom w:val="none" w:sz="0" w:space="0" w:color="auto"/>
            <w:right w:val="none" w:sz="0" w:space="0" w:color="auto"/>
          </w:divBdr>
        </w:div>
        <w:div w:id="122816738">
          <w:marLeft w:val="0"/>
          <w:marRight w:val="0"/>
          <w:marTop w:val="0"/>
          <w:marBottom w:val="0"/>
          <w:divBdr>
            <w:top w:val="none" w:sz="0" w:space="0" w:color="auto"/>
            <w:left w:val="none" w:sz="0" w:space="0" w:color="auto"/>
            <w:bottom w:val="none" w:sz="0" w:space="0" w:color="auto"/>
            <w:right w:val="none" w:sz="0" w:space="0" w:color="auto"/>
          </w:divBdr>
        </w:div>
        <w:div w:id="1355958625">
          <w:marLeft w:val="0"/>
          <w:marRight w:val="0"/>
          <w:marTop w:val="0"/>
          <w:marBottom w:val="0"/>
          <w:divBdr>
            <w:top w:val="none" w:sz="0" w:space="0" w:color="auto"/>
            <w:left w:val="none" w:sz="0" w:space="0" w:color="auto"/>
            <w:bottom w:val="none" w:sz="0" w:space="0" w:color="auto"/>
            <w:right w:val="none" w:sz="0" w:space="0" w:color="auto"/>
          </w:divBdr>
        </w:div>
      </w:divsChild>
    </w:div>
    <w:div w:id="904531822">
      <w:bodyDiv w:val="1"/>
      <w:marLeft w:val="0"/>
      <w:marRight w:val="0"/>
      <w:marTop w:val="0"/>
      <w:marBottom w:val="0"/>
      <w:divBdr>
        <w:top w:val="none" w:sz="0" w:space="0" w:color="auto"/>
        <w:left w:val="none" w:sz="0" w:space="0" w:color="auto"/>
        <w:bottom w:val="none" w:sz="0" w:space="0" w:color="auto"/>
        <w:right w:val="none" w:sz="0" w:space="0" w:color="auto"/>
      </w:divBdr>
    </w:div>
    <w:div w:id="1019576099">
      <w:bodyDiv w:val="1"/>
      <w:marLeft w:val="0"/>
      <w:marRight w:val="0"/>
      <w:marTop w:val="0"/>
      <w:marBottom w:val="0"/>
      <w:divBdr>
        <w:top w:val="none" w:sz="0" w:space="0" w:color="auto"/>
        <w:left w:val="none" w:sz="0" w:space="0" w:color="auto"/>
        <w:bottom w:val="none" w:sz="0" w:space="0" w:color="auto"/>
        <w:right w:val="none" w:sz="0" w:space="0" w:color="auto"/>
      </w:divBdr>
      <w:divsChild>
        <w:div w:id="829564089">
          <w:marLeft w:val="0"/>
          <w:marRight w:val="0"/>
          <w:marTop w:val="0"/>
          <w:marBottom w:val="0"/>
          <w:divBdr>
            <w:top w:val="none" w:sz="0" w:space="0" w:color="auto"/>
            <w:left w:val="none" w:sz="0" w:space="0" w:color="auto"/>
            <w:bottom w:val="none" w:sz="0" w:space="0" w:color="auto"/>
            <w:right w:val="none" w:sz="0" w:space="0" w:color="auto"/>
          </w:divBdr>
        </w:div>
        <w:div w:id="1615331928">
          <w:marLeft w:val="0"/>
          <w:marRight w:val="0"/>
          <w:marTop w:val="0"/>
          <w:marBottom w:val="0"/>
          <w:divBdr>
            <w:top w:val="none" w:sz="0" w:space="0" w:color="auto"/>
            <w:left w:val="none" w:sz="0" w:space="0" w:color="auto"/>
            <w:bottom w:val="none" w:sz="0" w:space="0" w:color="auto"/>
            <w:right w:val="none" w:sz="0" w:space="0" w:color="auto"/>
          </w:divBdr>
        </w:div>
        <w:div w:id="1809938292">
          <w:marLeft w:val="0"/>
          <w:marRight w:val="0"/>
          <w:marTop w:val="0"/>
          <w:marBottom w:val="0"/>
          <w:divBdr>
            <w:top w:val="none" w:sz="0" w:space="0" w:color="auto"/>
            <w:left w:val="none" w:sz="0" w:space="0" w:color="auto"/>
            <w:bottom w:val="none" w:sz="0" w:space="0" w:color="auto"/>
            <w:right w:val="none" w:sz="0" w:space="0" w:color="auto"/>
          </w:divBdr>
        </w:div>
        <w:div w:id="1415323281">
          <w:marLeft w:val="0"/>
          <w:marRight w:val="0"/>
          <w:marTop w:val="0"/>
          <w:marBottom w:val="0"/>
          <w:divBdr>
            <w:top w:val="none" w:sz="0" w:space="0" w:color="auto"/>
            <w:left w:val="none" w:sz="0" w:space="0" w:color="auto"/>
            <w:bottom w:val="none" w:sz="0" w:space="0" w:color="auto"/>
            <w:right w:val="none" w:sz="0" w:space="0" w:color="auto"/>
          </w:divBdr>
        </w:div>
      </w:divsChild>
    </w:div>
    <w:div w:id="1225988643">
      <w:bodyDiv w:val="1"/>
      <w:marLeft w:val="0"/>
      <w:marRight w:val="0"/>
      <w:marTop w:val="0"/>
      <w:marBottom w:val="0"/>
      <w:divBdr>
        <w:top w:val="none" w:sz="0" w:space="0" w:color="auto"/>
        <w:left w:val="none" w:sz="0" w:space="0" w:color="auto"/>
        <w:bottom w:val="none" w:sz="0" w:space="0" w:color="auto"/>
        <w:right w:val="none" w:sz="0" w:space="0" w:color="auto"/>
      </w:divBdr>
    </w:div>
    <w:div w:id="1358971343">
      <w:bodyDiv w:val="1"/>
      <w:marLeft w:val="0"/>
      <w:marRight w:val="0"/>
      <w:marTop w:val="0"/>
      <w:marBottom w:val="0"/>
      <w:divBdr>
        <w:top w:val="none" w:sz="0" w:space="0" w:color="auto"/>
        <w:left w:val="none" w:sz="0" w:space="0" w:color="auto"/>
        <w:bottom w:val="none" w:sz="0" w:space="0" w:color="auto"/>
        <w:right w:val="none" w:sz="0" w:space="0" w:color="auto"/>
      </w:divBdr>
    </w:div>
    <w:div w:id="1503858517">
      <w:bodyDiv w:val="1"/>
      <w:marLeft w:val="0"/>
      <w:marRight w:val="0"/>
      <w:marTop w:val="0"/>
      <w:marBottom w:val="0"/>
      <w:divBdr>
        <w:top w:val="none" w:sz="0" w:space="0" w:color="auto"/>
        <w:left w:val="none" w:sz="0" w:space="0" w:color="auto"/>
        <w:bottom w:val="none" w:sz="0" w:space="0" w:color="auto"/>
        <w:right w:val="none" w:sz="0" w:space="0" w:color="auto"/>
      </w:divBdr>
    </w:div>
    <w:div w:id="1742288324">
      <w:bodyDiv w:val="1"/>
      <w:marLeft w:val="0"/>
      <w:marRight w:val="0"/>
      <w:marTop w:val="0"/>
      <w:marBottom w:val="0"/>
      <w:divBdr>
        <w:top w:val="none" w:sz="0" w:space="0" w:color="auto"/>
        <w:left w:val="none" w:sz="0" w:space="0" w:color="auto"/>
        <w:bottom w:val="none" w:sz="0" w:space="0" w:color="auto"/>
        <w:right w:val="none" w:sz="0" w:space="0" w:color="auto"/>
      </w:divBdr>
    </w:div>
    <w:div w:id="1928266734">
      <w:bodyDiv w:val="1"/>
      <w:marLeft w:val="0"/>
      <w:marRight w:val="0"/>
      <w:marTop w:val="0"/>
      <w:marBottom w:val="0"/>
      <w:divBdr>
        <w:top w:val="none" w:sz="0" w:space="0" w:color="auto"/>
        <w:left w:val="none" w:sz="0" w:space="0" w:color="auto"/>
        <w:bottom w:val="none" w:sz="0" w:space="0" w:color="auto"/>
        <w:right w:val="none" w:sz="0" w:space="0" w:color="auto"/>
      </w:divBdr>
    </w:div>
    <w:div w:id="2042045388">
      <w:bodyDiv w:val="1"/>
      <w:marLeft w:val="0"/>
      <w:marRight w:val="0"/>
      <w:marTop w:val="0"/>
      <w:marBottom w:val="0"/>
      <w:divBdr>
        <w:top w:val="none" w:sz="0" w:space="0" w:color="auto"/>
        <w:left w:val="none" w:sz="0" w:space="0" w:color="auto"/>
        <w:bottom w:val="none" w:sz="0" w:space="0" w:color="auto"/>
        <w:right w:val="none" w:sz="0" w:space="0" w:color="auto"/>
      </w:divBdr>
    </w:div>
    <w:div w:id="2071928184">
      <w:bodyDiv w:val="1"/>
      <w:marLeft w:val="0"/>
      <w:marRight w:val="0"/>
      <w:marTop w:val="0"/>
      <w:marBottom w:val="0"/>
      <w:divBdr>
        <w:top w:val="none" w:sz="0" w:space="0" w:color="auto"/>
        <w:left w:val="none" w:sz="0" w:space="0" w:color="auto"/>
        <w:bottom w:val="none" w:sz="0" w:space="0" w:color="auto"/>
        <w:right w:val="none" w:sz="0" w:space="0" w:color="auto"/>
      </w:divBdr>
      <w:divsChild>
        <w:div w:id="127019875">
          <w:marLeft w:val="108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2421</TotalTime>
  <Pages>6</Pages>
  <Words>3086</Words>
  <Characters>3242</Characters>
  <Application>Microsoft Office Word</Application>
  <DocSecurity>0</DocSecurity>
  <Lines>190</Lines>
  <Paragraphs>143</Paragraphs>
  <ScaleCrop>false</ScaleCrop>
  <Company/>
  <LinksUpToDate>false</LinksUpToDate>
  <CharactersWithSpaces>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 Zhang</dc:creator>
  <cp:keywords/>
  <dc:description/>
  <cp:lastModifiedBy>Bo Zhang</cp:lastModifiedBy>
  <cp:revision>6</cp:revision>
  <dcterms:created xsi:type="dcterms:W3CDTF">2026-03-02T12:49:00Z</dcterms:created>
  <dcterms:modified xsi:type="dcterms:W3CDTF">2026-03-04T15:40:00Z</dcterms:modified>
</cp:coreProperties>
</file>