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32" w:rsidRPr="00347A32" w:rsidRDefault="00347A32" w:rsidP="00426E59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7678CC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</w:p>
    <w:p w:rsidR="00347A32" w:rsidRDefault="007678CC" w:rsidP="007678C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8CC">
        <w:rPr>
          <w:rFonts w:ascii="Times New Roman" w:hAnsi="Times New Roman" w:cs="Times New Roman"/>
          <w:b/>
          <w:sz w:val="32"/>
          <w:szCs w:val="32"/>
        </w:rPr>
        <w:t>Передача мощности в цепи постоянного тока</w:t>
      </w:r>
    </w:p>
    <w:p w:rsidR="007678CC" w:rsidRPr="007678CC" w:rsidRDefault="007678CC" w:rsidP="007678C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437E" w:rsidRPr="007678CC" w:rsidRDefault="00347A32" w:rsidP="007678CC">
      <w:pPr>
        <w:kinsoku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A32">
        <w:rPr>
          <w:rFonts w:ascii="Times New Roman" w:hAnsi="Times New Roman" w:cs="Times New Roman"/>
          <w:b/>
          <w:iCs/>
          <w:sz w:val="28"/>
          <w:szCs w:val="28"/>
        </w:rPr>
        <w:t xml:space="preserve">Цель </w:t>
      </w:r>
      <w:r w:rsidRPr="007678CC">
        <w:rPr>
          <w:rFonts w:ascii="Times New Roman" w:hAnsi="Times New Roman" w:cs="Times New Roman"/>
          <w:b/>
          <w:iCs/>
          <w:sz w:val="28"/>
          <w:szCs w:val="28"/>
        </w:rPr>
        <w:t>работы:</w:t>
      </w:r>
      <w:r w:rsidR="00E6437E" w:rsidRPr="007678C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678CC" w:rsidRPr="007678CC">
        <w:rPr>
          <w:rFonts w:ascii="Times New Roman" w:hAnsi="Times New Roman" w:cs="Times New Roman"/>
          <w:sz w:val="28"/>
          <w:szCs w:val="28"/>
        </w:rPr>
        <w:t>экспериментальное исследование зависимости полезной мощности, полной мощности и коэффициента полезного действия (КПД) и</w:t>
      </w:r>
      <w:r w:rsidR="007678CC" w:rsidRPr="007678CC">
        <w:rPr>
          <w:rFonts w:ascii="Times New Roman" w:hAnsi="Times New Roman" w:cs="Times New Roman"/>
          <w:sz w:val="28"/>
          <w:szCs w:val="28"/>
        </w:rPr>
        <w:t>с</w:t>
      </w:r>
      <w:r w:rsidR="007678CC" w:rsidRPr="007678CC">
        <w:rPr>
          <w:rFonts w:ascii="Times New Roman" w:hAnsi="Times New Roman" w:cs="Times New Roman"/>
          <w:sz w:val="28"/>
          <w:szCs w:val="28"/>
        </w:rPr>
        <w:t>точника от отношения сопротивлений нагрузки и источника.</w:t>
      </w:r>
    </w:p>
    <w:p w:rsidR="007678CC" w:rsidRPr="007678CC" w:rsidRDefault="007678CC" w:rsidP="007678CC">
      <w:pPr>
        <w:kinsoku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6A8" w:rsidRPr="007678CC" w:rsidRDefault="00347A32" w:rsidP="009A71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A32">
        <w:rPr>
          <w:rFonts w:ascii="Times New Roman" w:hAnsi="Times New Roman" w:cs="Times New Roman"/>
          <w:b/>
          <w:iCs/>
          <w:sz w:val="28"/>
          <w:szCs w:val="28"/>
        </w:rPr>
        <w:t>Приборы и принадлежности:</w:t>
      </w:r>
      <w:r w:rsidR="00E6437E" w:rsidRPr="00347A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678CC" w:rsidRPr="007678CC">
        <w:rPr>
          <w:rFonts w:ascii="Times New Roman" w:hAnsi="Times New Roman" w:cs="Times New Roman"/>
          <w:sz w:val="28"/>
          <w:szCs w:val="28"/>
        </w:rPr>
        <w:t>стенд для сборки измерительной цепи; два источника с различными ЭДС; миллиамперметр и вольтметр; переме</w:t>
      </w:r>
      <w:r w:rsidR="007678CC" w:rsidRPr="007678CC">
        <w:rPr>
          <w:rFonts w:ascii="Times New Roman" w:hAnsi="Times New Roman" w:cs="Times New Roman"/>
          <w:sz w:val="28"/>
          <w:szCs w:val="28"/>
        </w:rPr>
        <w:t>н</w:t>
      </w:r>
      <w:r w:rsidR="007678CC" w:rsidRPr="007678CC">
        <w:rPr>
          <w:rFonts w:ascii="Times New Roman" w:hAnsi="Times New Roman" w:cs="Times New Roman"/>
          <w:sz w:val="28"/>
          <w:szCs w:val="28"/>
        </w:rPr>
        <w:t>ный резистор.</w:t>
      </w:r>
    </w:p>
    <w:p w:rsidR="00647BE6" w:rsidRPr="00560FFF" w:rsidRDefault="00647BE6" w:rsidP="009A71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6C8" w:rsidRDefault="009A713A" w:rsidP="000766C8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>
        <w:rPr>
          <w:b/>
          <w:bCs/>
          <w:iCs/>
        </w:rPr>
        <w:t>Те</w:t>
      </w:r>
      <w:r w:rsidR="007B668A">
        <w:rPr>
          <w:b/>
          <w:bCs/>
          <w:iCs/>
        </w:rPr>
        <w:t>оре</w:t>
      </w:r>
      <w:r>
        <w:rPr>
          <w:b/>
          <w:bCs/>
          <w:iCs/>
        </w:rPr>
        <w:t>тические материалы</w:t>
      </w:r>
      <w:r w:rsidRPr="00EB09D9">
        <w:rPr>
          <w:b/>
          <w:bCs/>
          <w:iCs/>
        </w:rPr>
        <w:t>:</w:t>
      </w:r>
      <w:r w:rsidR="00A77C89" w:rsidRPr="00A77C89">
        <w:rPr>
          <w:noProof/>
          <w:lang w:eastAsia="ru-RU"/>
        </w:rPr>
        <w:t xml:space="preserve"> </w:t>
      </w:r>
    </w:p>
    <w:p w:rsidR="00E6437E" w:rsidRPr="000766C8" w:rsidRDefault="000766C8" w:rsidP="000766C8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>
        <w:rPr>
          <w:b/>
          <w:bCs/>
          <w:iCs/>
          <w:noProof/>
          <w:lang w:eastAsia="ru-RU"/>
        </w:rPr>
        <w:drawing>
          <wp:anchor distT="0" distB="0" distL="360045" distR="360045" simplePos="0" relativeHeight="251658240" behindDoc="1" locked="0" layoutInCell="1" allowOverlap="1">
            <wp:simplePos x="0" y="0"/>
            <wp:positionH relativeFrom="column">
              <wp:posOffset>4145915</wp:posOffset>
            </wp:positionH>
            <wp:positionV relativeFrom="paragraph">
              <wp:posOffset>209550</wp:posOffset>
            </wp:positionV>
            <wp:extent cx="1911350" cy="1887855"/>
            <wp:effectExtent l="19050" t="0" r="0" b="0"/>
            <wp:wrapTight wrapText="bothSides">
              <wp:wrapPolygon edited="0">
                <wp:start x="-215" y="0"/>
                <wp:lineTo x="-215" y="21360"/>
                <wp:lineTo x="21528" y="21360"/>
                <wp:lineTo x="21528" y="0"/>
                <wp:lineTo x="-215" y="0"/>
              </wp:wrapPolygon>
            </wp:wrapTight>
            <wp:docPr id="7" name="Рисунок 6" descr="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8CC" w:rsidRPr="00CD31CF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Источник ЭДС E с внутренним сопроти</w:t>
      </w:r>
      <w:r>
        <w:t>в</w:t>
      </w:r>
      <w:r>
        <w:t>лением R</w:t>
      </w:r>
      <w:r w:rsidRPr="00442AE4">
        <w:rPr>
          <w:vertAlign w:val="subscript"/>
        </w:rPr>
        <w:t>i</w:t>
      </w:r>
      <w:r w:rsidR="00CD31CF">
        <w:t xml:space="preserve"> подключённый в цепь (рис. 1) с</w:t>
      </w:r>
      <w:r>
        <w:t xml:space="preserve"> вне</w:t>
      </w:r>
      <w:r>
        <w:t>ш</w:t>
      </w:r>
      <w:r w:rsidR="00CD31CF">
        <w:t>ним</w:t>
      </w:r>
      <w:r>
        <w:t xml:space="preserve"> сопротивление</w:t>
      </w:r>
      <w:r w:rsidR="00CD31CF">
        <w:t>м</w:t>
      </w:r>
      <w:r>
        <w:t xml:space="preserve"> R</w:t>
      </w:r>
      <w:r w:rsidRPr="00442AE4">
        <w:rPr>
          <w:vertAlign w:val="subscript"/>
        </w:rPr>
        <w:t>1</w:t>
      </w:r>
      <w:r w:rsidR="00CD31CF">
        <w:t xml:space="preserve"> и создает в ней</w:t>
      </w:r>
      <w:r>
        <w:t xml:space="preserve"> ток</w:t>
      </w:r>
      <w:r w:rsidR="00CD31CF" w:rsidRPr="00CD31CF">
        <w:t>:</w:t>
      </w:r>
    </w:p>
    <w:p w:rsidR="00001E0C" w:rsidRDefault="007678CC" w:rsidP="00001E0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I = E/(R</w:t>
      </w:r>
      <w:r w:rsidRPr="00442AE4">
        <w:rPr>
          <w:vertAlign w:val="subscript"/>
        </w:rPr>
        <w:t>1</w:t>
      </w:r>
      <w:r>
        <w:t xml:space="preserve"> + R</w:t>
      </w:r>
      <w:r w:rsidRPr="00442AE4">
        <w:rPr>
          <w:vertAlign w:val="subscript"/>
        </w:rPr>
        <w:t>i</w:t>
      </w:r>
      <w:r>
        <w:t>).</w:t>
      </w:r>
    </w:p>
    <w:p w:rsidR="007678CC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Полная мощность P = EI, развиваемая и</w:t>
      </w:r>
      <w:r>
        <w:t>с</w:t>
      </w:r>
      <w:r>
        <w:t>точником, делится между нагрузкой</w:t>
      </w:r>
      <w:r w:rsidR="00CD31CF">
        <w:t xml:space="preserve"> ( внешним сопративлением )</w:t>
      </w:r>
      <w:r>
        <w:t xml:space="preserve"> и источником следующим образом:</w:t>
      </w:r>
    </w:p>
    <w:p w:rsidR="007678CC" w:rsidRPr="007678CC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  <w:rPr>
          <w:lang w:val="en-US"/>
        </w:rPr>
      </w:pPr>
      <w:r w:rsidRPr="007678CC">
        <w:rPr>
          <w:lang w:val="en-US"/>
        </w:rPr>
        <w:t>P</w:t>
      </w:r>
      <w:r w:rsidRPr="00442AE4">
        <w:rPr>
          <w:vertAlign w:val="subscript"/>
          <w:lang w:val="en-US"/>
        </w:rPr>
        <w:t>e</w:t>
      </w:r>
      <w:r w:rsidRPr="007678CC">
        <w:rPr>
          <w:lang w:val="en-US"/>
        </w:rPr>
        <w:t xml:space="preserve"> /P = U</w:t>
      </w:r>
      <w:r w:rsidRPr="00442AE4">
        <w:rPr>
          <w:vertAlign w:val="subscript"/>
          <w:lang w:val="en-US"/>
        </w:rPr>
        <w:t>e</w:t>
      </w:r>
      <w:r w:rsidRPr="007678CC">
        <w:rPr>
          <w:lang w:val="en-US"/>
        </w:rPr>
        <w:t xml:space="preserve"> /U = R</w:t>
      </w:r>
      <w:r w:rsidRPr="00442AE4">
        <w:rPr>
          <w:vertAlign w:val="subscript"/>
          <w:lang w:val="en-US"/>
        </w:rPr>
        <w:t>1</w:t>
      </w:r>
      <w:r w:rsidRPr="007678CC">
        <w:rPr>
          <w:lang w:val="en-US"/>
        </w:rPr>
        <w:t>/(R</w:t>
      </w:r>
      <w:r w:rsidRPr="00442AE4">
        <w:rPr>
          <w:vertAlign w:val="subscript"/>
          <w:lang w:val="en-US"/>
        </w:rPr>
        <w:t>1</w:t>
      </w:r>
      <w:r w:rsidRPr="007678CC">
        <w:rPr>
          <w:lang w:val="en-US"/>
        </w:rPr>
        <w:t xml:space="preserve"> + R</w:t>
      </w:r>
      <w:r w:rsidRPr="00442AE4">
        <w:rPr>
          <w:vertAlign w:val="subscript"/>
          <w:lang w:val="en-US"/>
        </w:rPr>
        <w:t>i</w:t>
      </w:r>
      <w:r w:rsidRPr="007678CC">
        <w:rPr>
          <w:lang w:val="en-US"/>
        </w:rPr>
        <w:t xml:space="preserve">) = </w:t>
      </w:r>
      <w:r>
        <w:sym w:font="Symbol" w:char="F068"/>
      </w:r>
      <w:r w:rsidRPr="007678CC">
        <w:rPr>
          <w:lang w:val="en-US"/>
        </w:rPr>
        <w:t>,</w:t>
      </w:r>
    </w:p>
    <w:p w:rsidR="007678CC" w:rsidRPr="007678CC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  <w:rPr>
          <w:lang w:val="en-US"/>
        </w:rPr>
      </w:pPr>
      <w:r w:rsidRPr="007678CC">
        <w:rPr>
          <w:lang w:val="en-US"/>
        </w:rPr>
        <w:t>P</w:t>
      </w:r>
      <w:r w:rsidRPr="00442AE4">
        <w:rPr>
          <w:vertAlign w:val="subscript"/>
          <w:lang w:val="en-US"/>
        </w:rPr>
        <w:t>i</w:t>
      </w:r>
      <w:r w:rsidRPr="007678CC">
        <w:rPr>
          <w:lang w:val="en-US"/>
        </w:rPr>
        <w:t xml:space="preserve"> /P = U</w:t>
      </w:r>
      <w:r w:rsidRPr="00442AE4">
        <w:rPr>
          <w:vertAlign w:val="subscript"/>
          <w:lang w:val="en-US"/>
        </w:rPr>
        <w:t>i</w:t>
      </w:r>
      <w:r w:rsidRPr="007678CC">
        <w:rPr>
          <w:lang w:val="en-US"/>
        </w:rPr>
        <w:t xml:space="preserve"> /U = R</w:t>
      </w:r>
      <w:r w:rsidRPr="00442AE4">
        <w:rPr>
          <w:vertAlign w:val="subscript"/>
          <w:lang w:val="en-US"/>
        </w:rPr>
        <w:t>i</w:t>
      </w:r>
      <w:r w:rsidRPr="007678CC">
        <w:rPr>
          <w:lang w:val="en-US"/>
        </w:rPr>
        <w:t xml:space="preserve"> /(R</w:t>
      </w:r>
      <w:r w:rsidRPr="00442AE4">
        <w:rPr>
          <w:vertAlign w:val="subscript"/>
          <w:lang w:val="en-US"/>
        </w:rPr>
        <w:t>1</w:t>
      </w:r>
      <w:r w:rsidRPr="007678CC">
        <w:rPr>
          <w:lang w:val="en-US"/>
        </w:rPr>
        <w:t xml:space="preserve"> + R</w:t>
      </w:r>
      <w:r w:rsidRPr="00442AE4">
        <w:rPr>
          <w:vertAlign w:val="subscript"/>
          <w:lang w:val="en-US"/>
        </w:rPr>
        <w:t>i</w:t>
      </w:r>
      <w:r w:rsidRPr="007678CC">
        <w:rPr>
          <w:lang w:val="en-US"/>
        </w:rPr>
        <w:t xml:space="preserve">) = 1 – </w:t>
      </w:r>
      <w:r>
        <w:sym w:font="Symbol" w:char="F068"/>
      </w:r>
      <w:r w:rsidRPr="007678CC">
        <w:rPr>
          <w:lang w:val="en-US"/>
        </w:rPr>
        <w:t>,</w:t>
      </w:r>
    </w:p>
    <w:p w:rsidR="00CD31CF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 xml:space="preserve">где </w:t>
      </w:r>
    </w:p>
    <w:p w:rsidR="00CD31CF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P</w:t>
      </w:r>
      <w:r w:rsidRPr="00442AE4">
        <w:rPr>
          <w:vertAlign w:val="subscript"/>
        </w:rPr>
        <w:t>e</w:t>
      </w:r>
      <w:r>
        <w:t xml:space="preserve"> = IU</w:t>
      </w:r>
      <w:r w:rsidRPr="00442AE4">
        <w:rPr>
          <w:vertAlign w:val="subscript"/>
        </w:rPr>
        <w:t>e</w:t>
      </w:r>
      <w:r>
        <w:t xml:space="preserve"> – мощность, выделяющаяся в нагрузке (полезная); </w:t>
      </w:r>
    </w:p>
    <w:p w:rsidR="00CD31CF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P</w:t>
      </w:r>
      <w:r w:rsidRPr="00442AE4">
        <w:rPr>
          <w:vertAlign w:val="subscript"/>
        </w:rPr>
        <w:t>i</w:t>
      </w:r>
      <w:r>
        <w:t xml:space="preserve"> = IU</w:t>
      </w:r>
      <w:r w:rsidRPr="00442AE4">
        <w:rPr>
          <w:vertAlign w:val="subscript"/>
        </w:rPr>
        <w:t>i</w:t>
      </w:r>
      <w:r>
        <w:t xml:space="preserve"> – мощность, выделяющаяся на внутреннем сопротивлении и</w:t>
      </w:r>
      <w:r>
        <w:t>с</w:t>
      </w:r>
      <w:r w:rsidR="00CD31CF">
        <w:t>точника;</w:t>
      </w:r>
    </w:p>
    <w:p w:rsidR="00CD31CF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U</w:t>
      </w:r>
      <w:r w:rsidRPr="00442AE4">
        <w:rPr>
          <w:vertAlign w:val="subscript"/>
        </w:rPr>
        <w:t>e</w:t>
      </w:r>
      <w:r>
        <w:t xml:space="preserve"> и U</w:t>
      </w:r>
      <w:r w:rsidRPr="00442AE4">
        <w:rPr>
          <w:vertAlign w:val="subscript"/>
        </w:rPr>
        <w:t>i</w:t>
      </w:r>
      <w:r>
        <w:t xml:space="preserve"> – падения напряжения на нагрузке и на внутреннем сопроти</w:t>
      </w:r>
      <w:r>
        <w:t>в</w:t>
      </w:r>
      <w:r w:rsidR="00CD31CF">
        <w:t>лении источника соответственно;</w:t>
      </w:r>
    </w:p>
    <w:p w:rsidR="007678CC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sym w:font="Symbol" w:char="F068"/>
      </w:r>
      <w:r>
        <w:t xml:space="preserve"> – КПД источника.</w:t>
      </w:r>
    </w:p>
    <w:p w:rsidR="007678CC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lastRenderedPageBreak/>
        <w:t>С увеличением внутреннего сопротивления от нуля (короткое замык</w:t>
      </w:r>
      <w:r>
        <w:t>а</w:t>
      </w:r>
      <w:r>
        <w:t>ние) до бесконечности (разомкнутая цепь) напряжение U</w:t>
      </w:r>
      <w:r w:rsidRPr="00442AE4">
        <w:rPr>
          <w:vertAlign w:val="subscript"/>
        </w:rPr>
        <w:t>e</w:t>
      </w:r>
      <w:r>
        <w:t xml:space="preserve"> возрастает от нуля до значения, равного ЭДС, а ток в цепи уменьшается от I</w:t>
      </w:r>
      <w:r w:rsidRPr="00442AE4">
        <w:rPr>
          <w:vertAlign w:val="subscript"/>
        </w:rPr>
        <w:t>КЗ</w:t>
      </w:r>
      <w:r>
        <w:t xml:space="preserve"> = E/R</w:t>
      </w:r>
      <w:r w:rsidRPr="00442AE4">
        <w:rPr>
          <w:vertAlign w:val="subscript"/>
        </w:rPr>
        <w:t>i</w:t>
      </w:r>
      <w:r>
        <w:t xml:space="preserve"> при коро</w:t>
      </w:r>
      <w:r>
        <w:t>т</w:t>
      </w:r>
      <w:r>
        <w:t>ком замыкании до нуля при разомкнутой цепи.</w:t>
      </w:r>
    </w:p>
    <w:p w:rsidR="004C11D5" w:rsidRPr="00AC1DB8" w:rsidRDefault="00CD31CF" w:rsidP="004C11D5">
      <w:pPr>
        <w:pStyle w:val="a5"/>
        <w:kinsoku w:val="0"/>
        <w:overflowPunct w:val="0"/>
        <w:spacing w:before="0" w:line="360" w:lineRule="auto"/>
        <w:ind w:left="0" w:right="0" w:firstLine="709"/>
      </w:pPr>
      <w:r>
        <w:t xml:space="preserve">В случае, когда </w:t>
      </w:r>
      <w:r w:rsidR="004C11D5">
        <w:t xml:space="preserve">внутренние сопротивление равно нулю или бесконечно велико, мощность </w:t>
      </w:r>
      <w:r w:rsidR="004C11D5">
        <w:rPr>
          <w:lang w:val="en-US"/>
        </w:rPr>
        <w:t>Pe</w:t>
      </w:r>
      <w:r w:rsidR="004C11D5" w:rsidRPr="004C11D5">
        <w:t xml:space="preserve"> </w:t>
      </w:r>
      <w:r w:rsidR="004C11D5">
        <w:t>равна нулю. Максимальное свое значение она достигает когда сопротивление нагрузки равно внутреннему сопротивлению ЭДС. В таком случае она равна</w:t>
      </w:r>
      <w:r w:rsidR="004C11D5" w:rsidRPr="00AC1DB8">
        <w:t>:</w:t>
      </w:r>
    </w:p>
    <w:p w:rsidR="007678CC" w:rsidRDefault="00442AE4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Pe max = E</w:t>
      </w:r>
      <w:r w:rsidR="007678CC" w:rsidRPr="00442AE4">
        <w:rPr>
          <w:vertAlign w:val="superscript"/>
        </w:rPr>
        <w:t>2</w:t>
      </w:r>
      <w:r w:rsidR="007678CC">
        <w:t xml:space="preserve"> /(4R</w:t>
      </w:r>
      <w:r w:rsidR="007678CC" w:rsidRPr="00442AE4">
        <w:rPr>
          <w:vertAlign w:val="subscript"/>
        </w:rPr>
        <w:t>i</w:t>
      </w:r>
      <w:r w:rsidR="007678CC">
        <w:t>).</w:t>
      </w:r>
    </w:p>
    <w:p w:rsidR="007678CC" w:rsidRPr="004C11D5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Полная мощность P с увеличением сопротивления нагрузки уменьш</w:t>
      </w:r>
      <w:r>
        <w:t>а</w:t>
      </w:r>
      <w:r>
        <w:t>ется и в режиме согласования составляет</w:t>
      </w:r>
      <w:r w:rsidR="004C11D5" w:rsidRPr="004C11D5">
        <w:t>:</w:t>
      </w:r>
    </w:p>
    <w:p w:rsidR="007678CC" w:rsidRDefault="00442AE4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P = E</w:t>
      </w:r>
      <w:r w:rsidR="007678CC" w:rsidRPr="00442AE4">
        <w:rPr>
          <w:vertAlign w:val="superscript"/>
        </w:rPr>
        <w:t>2</w:t>
      </w:r>
      <w:r w:rsidR="007678CC">
        <w:t xml:space="preserve"> /(2R</w:t>
      </w:r>
      <w:r w:rsidR="007678CC" w:rsidRPr="00442AE4">
        <w:rPr>
          <w:vertAlign w:val="subscript"/>
        </w:rPr>
        <w:t>i</w:t>
      </w:r>
      <w:r w:rsidR="007678CC">
        <w:t>), т. е. половину мощности, развиваемой источником в р</w:t>
      </w:r>
      <w:r w:rsidR="007678CC">
        <w:t>е</w:t>
      </w:r>
      <w:r w:rsidR="007678CC">
        <w:t>жиме короткого замыкания:</w:t>
      </w:r>
    </w:p>
    <w:p w:rsidR="004C11D5" w:rsidRDefault="00442AE4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P</w:t>
      </w:r>
      <w:r w:rsidRPr="003151C8">
        <w:rPr>
          <w:vertAlign w:val="subscript"/>
        </w:rPr>
        <w:t>КЗ</w:t>
      </w:r>
      <w:r>
        <w:t xml:space="preserve"> = E</w:t>
      </w:r>
      <w:r w:rsidR="007678CC" w:rsidRPr="00442AE4">
        <w:rPr>
          <w:vertAlign w:val="superscript"/>
        </w:rPr>
        <w:t>2</w:t>
      </w:r>
      <w:r w:rsidR="007678CC">
        <w:t xml:space="preserve"> /R</w:t>
      </w:r>
      <w:r w:rsidR="007678CC" w:rsidRPr="00442AE4">
        <w:rPr>
          <w:vertAlign w:val="subscript"/>
        </w:rPr>
        <w:t>i</w:t>
      </w:r>
      <w:r w:rsidR="004C11D5">
        <w:t>.</w:t>
      </w:r>
    </w:p>
    <w:p w:rsidR="007678CC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Напряжение U</w:t>
      </w:r>
      <w:r w:rsidRPr="00442AE4">
        <w:rPr>
          <w:vertAlign w:val="subscript"/>
        </w:rPr>
        <w:t>e</w:t>
      </w:r>
      <w:r>
        <w:t xml:space="preserve"> в режиме согласования равно половине ЭДС E. КПД источника равен нулю при коротком замыкании и единице при разомкнутой цепи; в согласованном режиме </w:t>
      </w:r>
      <w:r>
        <w:sym w:font="Symbol" w:char="F068"/>
      </w:r>
      <w:r>
        <w:t xml:space="preserve"> = 0.5.</w:t>
      </w:r>
    </w:p>
    <w:p w:rsidR="007B668A" w:rsidRDefault="007B668A" w:rsidP="007678CC">
      <w:pPr>
        <w:pStyle w:val="a5"/>
        <w:kinsoku w:val="0"/>
        <w:overflowPunct w:val="0"/>
        <w:spacing w:before="0" w:line="360" w:lineRule="auto"/>
        <w:ind w:left="0" w:right="0" w:firstLine="709"/>
      </w:pPr>
    </w:p>
    <w:p w:rsidR="000766C8" w:rsidRDefault="00E62624" w:rsidP="000766C8">
      <w:pPr>
        <w:pStyle w:val="a5"/>
        <w:kinsoku w:val="0"/>
        <w:overflowPunct w:val="0"/>
        <w:spacing w:before="0" w:line="360" w:lineRule="auto"/>
        <w:ind w:left="0" w:right="0" w:firstLine="709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1255395</wp:posOffset>
            </wp:positionH>
            <wp:positionV relativeFrom="paragraph">
              <wp:posOffset>416560</wp:posOffset>
            </wp:positionV>
            <wp:extent cx="3237865" cy="1925955"/>
            <wp:effectExtent l="19050" t="0" r="635" b="0"/>
            <wp:wrapTopAndBottom/>
            <wp:docPr id="8" name="Рисунок 7" descr="ри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68A">
        <w:rPr>
          <w:b/>
        </w:rPr>
        <w:t>Исследование зависимостей</w:t>
      </w:r>
      <w:r w:rsidR="007B668A" w:rsidRPr="00EB09D9">
        <w:rPr>
          <w:b/>
        </w:rPr>
        <w:t>:</w:t>
      </w:r>
    </w:p>
    <w:p w:rsidR="000766C8" w:rsidRPr="007B668A" w:rsidRDefault="000766C8" w:rsidP="007678CC">
      <w:pPr>
        <w:pStyle w:val="a5"/>
        <w:kinsoku w:val="0"/>
        <w:overflowPunct w:val="0"/>
        <w:spacing w:before="0" w:line="360" w:lineRule="auto"/>
        <w:ind w:left="0" w:right="0" w:firstLine="709"/>
        <w:rPr>
          <w:b/>
        </w:rPr>
      </w:pPr>
    </w:p>
    <w:p w:rsidR="007678CC" w:rsidRDefault="007678CC" w:rsidP="007678CC">
      <w:pPr>
        <w:pStyle w:val="a5"/>
        <w:kinsoku w:val="0"/>
        <w:overflowPunct w:val="0"/>
        <w:spacing w:before="0" w:line="360" w:lineRule="auto"/>
        <w:ind w:left="0" w:right="0" w:firstLine="709"/>
      </w:pPr>
      <w:r>
        <w:t>Схема установки для исследования цепи постоянного тока представл</w:t>
      </w:r>
      <w:r>
        <w:t>е</w:t>
      </w:r>
      <w:r w:rsidR="00001E0C">
        <w:t xml:space="preserve">на на рис. </w:t>
      </w:r>
      <w:r>
        <w:t>2.</w:t>
      </w:r>
    </w:p>
    <w:p w:rsidR="00AC1DB8" w:rsidRPr="00AC1DB8" w:rsidRDefault="00AC1DB8" w:rsidP="000766C8">
      <w:pPr>
        <w:pStyle w:val="a5"/>
        <w:kinsoku w:val="0"/>
        <w:overflowPunct w:val="0"/>
        <w:spacing w:before="0" w:line="360" w:lineRule="auto"/>
        <w:ind w:left="0" w:right="0" w:firstLine="709"/>
      </w:pPr>
    </w:p>
    <w:p w:rsidR="00AC1DB8" w:rsidRPr="00AC1DB8" w:rsidRDefault="00AC1DB8" w:rsidP="000766C8">
      <w:pPr>
        <w:pStyle w:val="a5"/>
        <w:kinsoku w:val="0"/>
        <w:overflowPunct w:val="0"/>
        <w:spacing w:before="0" w:line="360" w:lineRule="auto"/>
        <w:ind w:left="0" w:right="0" w:firstLine="709"/>
      </w:pPr>
      <w:r w:rsidRPr="00AC1DB8">
        <w:rPr>
          <w:lang w:val="en-US"/>
        </w:rPr>
        <w:lastRenderedPageBreak/>
        <w:t>G</w:t>
      </w:r>
      <w:r>
        <w:rPr>
          <w:vertAlign w:val="subscript"/>
        </w:rPr>
        <w:t>1</w:t>
      </w:r>
      <w:r>
        <w:t xml:space="preserve"> и </w:t>
      </w:r>
      <w:r w:rsidRPr="00AC1DB8">
        <w:rPr>
          <w:lang w:val="en-US"/>
        </w:rPr>
        <w:t>G</w:t>
      </w:r>
      <w:r>
        <w:rPr>
          <w:vertAlign w:val="subscript"/>
        </w:rPr>
        <w:t>2</w:t>
      </w:r>
      <w:r>
        <w:t xml:space="preserve"> источники обладают разными ЭДС и внутренними сопративл</w:t>
      </w:r>
      <w:r>
        <w:t>е</w:t>
      </w:r>
      <w:r>
        <w:t xml:space="preserve">ниями. Они поочерёдно подключаются к цепи с с нагрузкой </w:t>
      </w:r>
      <w:r w:rsidR="00D7350F">
        <w:t>R</w:t>
      </w:r>
      <w:r w:rsidR="00D7350F" w:rsidRPr="00442AE4">
        <w:rPr>
          <w:vertAlign w:val="subscript"/>
        </w:rPr>
        <w:t>1</w:t>
      </w:r>
      <w:r w:rsidR="00D7350F">
        <w:t xml:space="preserve"> изменением положения переключателя SB</w:t>
      </w:r>
      <w:r w:rsidR="00D7350F" w:rsidRPr="00442AE4">
        <w:rPr>
          <w:vertAlign w:val="subscript"/>
        </w:rPr>
        <w:t>1</w:t>
      </w:r>
      <w:r>
        <w:t xml:space="preserve">. Показания тока </w:t>
      </w:r>
      <w:r w:rsidR="00D7350F">
        <w:t>I</w:t>
      </w:r>
      <w:r>
        <w:t xml:space="preserve"> и напряжения </w:t>
      </w:r>
      <w:r w:rsidR="00D7350F">
        <w:t>Ue</w:t>
      </w:r>
      <w:r>
        <w:t xml:space="preserve"> на рез</w:t>
      </w:r>
      <w:r>
        <w:t>и</w:t>
      </w:r>
      <w:r>
        <w:t xml:space="preserve">сторе </w:t>
      </w:r>
      <w:r w:rsidR="00D7350F">
        <w:t>R</w:t>
      </w:r>
      <w:r w:rsidR="00D7350F" w:rsidRPr="00442AE4">
        <w:rPr>
          <w:vertAlign w:val="subscript"/>
        </w:rPr>
        <w:t>1</w:t>
      </w:r>
      <w:r>
        <w:t xml:space="preserve"> меняются при изменении сопротивления этого резистора и измер</w:t>
      </w:r>
      <w:r>
        <w:t>я</w:t>
      </w:r>
      <w:r>
        <w:t>ют миллиамперметром PA</w:t>
      </w:r>
      <w:r w:rsidRPr="00442AE4">
        <w:rPr>
          <w:vertAlign w:val="subscript"/>
        </w:rPr>
        <w:t>1</w:t>
      </w:r>
      <w:r>
        <w:t xml:space="preserve"> и вольтметром PV</w:t>
      </w:r>
      <w:r w:rsidRPr="00442AE4">
        <w:rPr>
          <w:vertAlign w:val="subscript"/>
        </w:rPr>
        <w:t>1</w:t>
      </w:r>
      <w:r>
        <w:t xml:space="preserve">. Для перехода </w:t>
      </w:r>
      <w:r w:rsidR="00D7350F">
        <w:t>в режим р</w:t>
      </w:r>
      <w:r w:rsidR="00D7350F">
        <w:t>а</w:t>
      </w:r>
      <w:r w:rsidR="00D7350F">
        <w:t>зомкнутой цепи следует отключить н</w:t>
      </w:r>
      <w:r w:rsidR="00D7350F">
        <w:t>а</w:t>
      </w:r>
      <w:r w:rsidR="00D7350F">
        <w:t>грузку ключом SB</w:t>
      </w:r>
      <w:r w:rsidR="00D7350F">
        <w:rPr>
          <w:vertAlign w:val="subscript"/>
        </w:rPr>
        <w:t>2</w:t>
      </w:r>
      <w:r w:rsidR="00D7350F">
        <w:t>.</w:t>
      </w:r>
    </w:p>
    <w:sectPr w:rsidR="00AC1DB8" w:rsidRPr="00AC1DB8" w:rsidSect="0085190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numFmt w:val="bullet"/>
      <w:lvlText w:val=""/>
      <w:lvlJc w:val="left"/>
      <w:pPr>
        <w:ind w:left="210" w:hanging="211"/>
      </w:pPr>
      <w:rPr>
        <w:rFonts w:ascii="Symbol" w:hAnsi="Symbol" w:cs="Symbol"/>
        <w:b w:val="0"/>
        <w:bCs w:val="0"/>
        <w:w w:val="101"/>
        <w:sz w:val="28"/>
        <w:szCs w:val="28"/>
      </w:rPr>
    </w:lvl>
    <w:lvl w:ilvl="1">
      <w:numFmt w:val="bullet"/>
      <w:lvlText w:val="•"/>
      <w:lvlJc w:val="left"/>
      <w:pPr>
        <w:ind w:left="269" w:hanging="211"/>
      </w:pPr>
    </w:lvl>
    <w:lvl w:ilvl="2">
      <w:numFmt w:val="bullet"/>
      <w:lvlText w:val="•"/>
      <w:lvlJc w:val="left"/>
      <w:pPr>
        <w:ind w:left="318" w:hanging="211"/>
      </w:pPr>
    </w:lvl>
    <w:lvl w:ilvl="3">
      <w:numFmt w:val="bullet"/>
      <w:lvlText w:val="•"/>
      <w:lvlJc w:val="left"/>
      <w:pPr>
        <w:ind w:left="367" w:hanging="211"/>
      </w:pPr>
    </w:lvl>
    <w:lvl w:ilvl="4">
      <w:numFmt w:val="bullet"/>
      <w:lvlText w:val="•"/>
      <w:lvlJc w:val="left"/>
      <w:pPr>
        <w:ind w:left="416" w:hanging="211"/>
      </w:pPr>
    </w:lvl>
    <w:lvl w:ilvl="5">
      <w:numFmt w:val="bullet"/>
      <w:lvlText w:val="•"/>
      <w:lvlJc w:val="left"/>
      <w:pPr>
        <w:ind w:left="465" w:hanging="211"/>
      </w:pPr>
    </w:lvl>
    <w:lvl w:ilvl="6">
      <w:numFmt w:val="bullet"/>
      <w:lvlText w:val="•"/>
      <w:lvlJc w:val="left"/>
      <w:pPr>
        <w:ind w:left="514" w:hanging="211"/>
      </w:pPr>
    </w:lvl>
    <w:lvl w:ilvl="7">
      <w:numFmt w:val="bullet"/>
      <w:lvlText w:val="•"/>
      <w:lvlJc w:val="left"/>
      <w:pPr>
        <w:ind w:left="563" w:hanging="211"/>
      </w:pPr>
    </w:lvl>
    <w:lvl w:ilvl="8">
      <w:numFmt w:val="bullet"/>
      <w:lvlText w:val="•"/>
      <w:lvlJc w:val="left"/>
      <w:pPr>
        <w:ind w:left="612" w:hanging="211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drawingGridHorizontalSpacing w:val="110"/>
  <w:displayHorizontalDrawingGridEvery w:val="2"/>
  <w:characterSpacingControl w:val="doNotCompress"/>
  <w:compat/>
  <w:rsids>
    <w:rsidRoot w:val="00947028"/>
    <w:rsid w:val="00001E0C"/>
    <w:rsid w:val="000259AF"/>
    <w:rsid w:val="0003515B"/>
    <w:rsid w:val="000766C8"/>
    <w:rsid w:val="000949BB"/>
    <w:rsid w:val="001D47F5"/>
    <w:rsid w:val="003151C8"/>
    <w:rsid w:val="00347A32"/>
    <w:rsid w:val="00426E59"/>
    <w:rsid w:val="004348C4"/>
    <w:rsid w:val="00442AE4"/>
    <w:rsid w:val="004C11D5"/>
    <w:rsid w:val="00560FFF"/>
    <w:rsid w:val="00562D3B"/>
    <w:rsid w:val="00617204"/>
    <w:rsid w:val="00647BE6"/>
    <w:rsid w:val="006B361C"/>
    <w:rsid w:val="007678CC"/>
    <w:rsid w:val="0079127E"/>
    <w:rsid w:val="007B668A"/>
    <w:rsid w:val="00851907"/>
    <w:rsid w:val="00947028"/>
    <w:rsid w:val="009926A8"/>
    <w:rsid w:val="009A713A"/>
    <w:rsid w:val="00A1555B"/>
    <w:rsid w:val="00A77C89"/>
    <w:rsid w:val="00AB5372"/>
    <w:rsid w:val="00AC1DB8"/>
    <w:rsid w:val="00AD0013"/>
    <w:rsid w:val="00AD4B2C"/>
    <w:rsid w:val="00AE7526"/>
    <w:rsid w:val="00B92D79"/>
    <w:rsid w:val="00CD31CF"/>
    <w:rsid w:val="00CE75FD"/>
    <w:rsid w:val="00D7350F"/>
    <w:rsid w:val="00E62624"/>
    <w:rsid w:val="00E6437E"/>
    <w:rsid w:val="00E8267E"/>
    <w:rsid w:val="00EB09D9"/>
    <w:rsid w:val="00F1765D"/>
    <w:rsid w:val="00F3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D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3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43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E6437E"/>
    <w:pPr>
      <w:autoSpaceDE w:val="0"/>
      <w:autoSpaceDN w:val="0"/>
      <w:adjustRightInd w:val="0"/>
      <w:spacing w:before="116" w:after="0" w:line="240" w:lineRule="auto"/>
      <w:ind w:left="102" w:right="102" w:firstLine="70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E6437E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851907"/>
    <w:pPr>
      <w:autoSpaceDE w:val="0"/>
      <w:autoSpaceDN w:val="0"/>
      <w:adjustRightInd w:val="0"/>
      <w:spacing w:before="45" w:after="0" w:line="240" w:lineRule="auto"/>
      <w:ind w:left="210" w:hanging="21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19</cp:revision>
  <dcterms:created xsi:type="dcterms:W3CDTF">2019-10-12T17:21:00Z</dcterms:created>
  <dcterms:modified xsi:type="dcterms:W3CDTF">2020-02-24T12:34:00Z</dcterms:modified>
</cp:coreProperties>
</file>