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GLACE Efficiency Tracing Prompt — Kenya</w:t>
      </w:r>
    </w:p>
    <w:p>
      <w:pPr>
        <w:spacing w:after="40"/>
        <w:jc w:val="center"/>
      </w:pPr>
      <w:r>
        <w:rPr>
          <w:color w:val="444444"/>
          <w:sz w:val="20"/>
          <w:szCs w:val="20"/>
        </w:rPr>
        <w:t xml:space="preserve">Phase B and Phase C only · retail extraction already complete · Claude Code with Claude in Chrome</w:t>
      </w:r>
    </w:p>
    <w:p>
      <w:pPr>
        <w:spacing w:after="240"/>
        <w:jc w:val="center"/>
      </w:pPr>
      <w:r>
        <w:rPr>
          <w:color w:val="666666"/>
          <w:sz w:val="18"/>
          <w:szCs w:val="18"/>
        </w:rPr>
        <w:t xml:space="preserve">v1.0 · 2026-08-26 · Mirrors the Chinese master template v2.2, Steps 9 to 14 · Cell covered: KEN × split</w:t>
      </w:r>
    </w:p>
    <w:p>
      <w:pPr>
        <w:pStyle w:val="Heading1"/>
        <w:spacing w:after="160" w:before="320"/>
      </w:pPr>
      <w:r>
        <w:t xml:space="preserve">How to use</w:t>
      </w:r>
    </w:p>
    <w:p>
      <w:pPr>
        <w:pStyle w:val="ListParagraph"/>
        <w:numPr>
          <w:ilvl w:val="0"/>
          <w:numId w:val="2"/>
        </w:numPr>
        <w:spacing w:after="80" w:line="276"/>
      </w:pPr>
      <w:r>
        <w:t xml:space="preserve">Phase A retail extraction is finished and Checkpoint 1 has been approved. This prompt starts from the completed retail file and does not revisit e-commerce listings except where a step says so explicitly.</w:t>
      </w:r>
    </w:p>
    <w:p>
      <w:pPr>
        <w:pStyle w:val="ListParagraph"/>
        <w:numPr>
          <w:ilvl w:val="0"/>
          <w:numId w:val="2"/>
        </w:numPr>
        <w:spacing w:after="80" w:line="276"/>
      </w:pPr>
      <w:r>
        <w:t xml:space="preserve">Run one cell at a time.</w:t>
      </w:r>
    </w:p>
    <w:p>
      <w:pPr>
        <w:pStyle w:val="ListParagraph"/>
        <w:numPr>
          <w:ilvl w:val="0"/>
          <w:numId w:val="2"/>
        </w:numPr>
        <w:spacing w:after="80" w:line="276"/>
      </w:pPr>
      <w:r>
        <w:t xml:space="preserve">Section 8 holds country-specific rules and overrides the general procedure wherever the two conflict.</w:t>
      </w:r>
    </w:p>
    <w:p>
      <w:pPr>
        <w:pStyle w:val="Heading1"/>
        <w:spacing w:after="160" w:before="320"/>
      </w:pPr>
      <w:r>
        <w:t xml:space="preserve">1. Inputs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DF2" w:color="auto" w:val="clear"/>
            <w:tcMar>
              <w:top w:type="dxa" w:w="60"/>
              <w:left w:type="dxa" w:w="100"/>
              <w:bottom w:type="dxa" w:w="60"/>
              <w:right w:type="dxa" w:w="100"/>
            </w:tcMar>
          </w:tcPr>
          <w:p>
            <w:pPr>
              <w:spacing w:after="0" w:line="260"/>
            </w:pPr>
            <w:r>
              <w:rPr>
                <w:b/>
                <w:bCs/>
                <w:sz w:val="19"/>
                <w:szCs w:val="19"/>
              </w:rPr>
              <w:t xml:space="preserve">Item</w:t>
            </w:r>
          </w:p>
        </w:tc>
        <w:tc>
          <w:tcPr>
            <w:tcW w:type="dxa" w:w="7020"/>
            <w:shd w:fill="E8EDF2" w:color="auto" w:val="clear"/>
            <w:tcMar>
              <w:top w:type="dxa" w:w="60"/>
              <w:left w:type="dxa" w:w="100"/>
              <w:bottom w:type="dxa" w:w="60"/>
              <w:right w:type="dxa" w:w="100"/>
            </w:tcMar>
          </w:tcPr>
          <w:p>
            <w:pPr>
              <w:spacing w:after="0" w:line="260"/>
            </w:pPr>
            <w:r>
              <w:rPr>
                <w:b/>
                <w:bCs/>
                <w:sz w:val="19"/>
                <w:szCs w:val="19"/>
              </w:rPr>
              <w:t xml:space="preserve">Content</w:t>
            </w:r>
          </w:p>
        </w:tc>
      </w:tr>
      <w:tr>
        <w:tc>
          <w:tcPr>
            <w:tcW w:type="dxa" w:w="1980"/>
            <w:tcMar>
              <w:top w:type="dxa" w:w="60"/>
              <w:left w:type="dxa" w:w="100"/>
              <w:bottom w:type="dxa" w:w="60"/>
              <w:right w:type="dxa" w:w="100"/>
            </w:tcMar>
          </w:tcPr>
          <w:p>
            <w:pPr>
              <w:spacing w:after="0" w:line="260"/>
            </w:pPr>
            <w:r>
              <w:rPr>
                <w:sz w:val="19"/>
                <w:szCs w:val="19"/>
              </w:rPr>
              <w:t xml:space="preserve">Retail records file</w:t>
            </w:r>
          </w:p>
        </w:tc>
        <w:tc>
          <w:tcPr>
            <w:tcW w:type="dxa" w:w="7020"/>
            <w:tcMar>
              <w:top w:type="dxa" w:w="60"/>
              <w:left w:type="dxa" w:w="100"/>
              <w:bottom w:type="dxa" w:w="60"/>
              <w:right w:type="dxa" w:w="100"/>
            </w:tcMar>
          </w:tcPr>
          <w:p>
            <w:pPr>
              <w:spacing w:after="0" w:line="260"/>
            </w:pPr>
            <w:r>
              <w:rPr>
                <w:sz w:val="19"/>
                <w:szCs w:val="19"/>
              </w:rPr>
              <w:t xml:space="preserve">The completed Phase A output for this cell, keyed on manufacturer_mpn, containing brand, manufacturer_mpn, mpn_missing, platform_sku, ac_type, capacity_raw_value, capacity_raw_unit, rated_cooling_capacity_w, rated_power_input_w, rated_eer, capacity_source, efficiency_retail_claimed, efficiency_metric_claimed, label_grade_reported, label_version, efficiency_source_type, efficiency_source_url, match_ambiguous, gap_codes, qc_flag, notes</w:t>
            </w:r>
          </w:p>
        </w:tc>
      </w:tr>
      <w:tr>
        <w:tc>
          <w:tcPr>
            <w:tcW w:type="dxa" w:w="1980"/>
            <w:tcMar>
              <w:top w:type="dxa" w:w="60"/>
              <w:left w:type="dxa" w:w="100"/>
              <w:bottom w:type="dxa" w:w="60"/>
              <w:right w:type="dxa" w:w="100"/>
            </w:tcMar>
          </w:tcPr>
          <w:p>
            <w:pPr>
              <w:spacing w:after="0" w:line="260"/>
            </w:pPr>
            <w:r>
              <w:rPr>
                <w:sz w:val="19"/>
                <w:szCs w:val="19"/>
              </w:rPr>
              <w:t xml:space="preserve">Label images</w:t>
            </w:r>
          </w:p>
        </w:tc>
        <w:tc>
          <w:tcPr>
            <w:tcW w:type="dxa" w:w="7020"/>
            <w:tcMar>
              <w:top w:type="dxa" w:w="60"/>
              <w:left w:type="dxa" w:w="100"/>
              <w:bottom w:type="dxa" w:w="60"/>
              <w:right w:type="dxa" w:w="100"/>
            </w:tcMar>
          </w:tcPr>
          <w:p>
            <w:pPr>
              <w:spacing w:after="0" w:line="260"/>
            </w:pPr>
            <w:r>
              <w:rPr>
                <w:sz w:val="19"/>
                <w:szCs w:val="19"/>
              </w:rPr>
              <w:t xml:space="preserve">Energy label images saved during Phase A, with their file names and hashes</w:t>
            </w:r>
          </w:p>
        </w:tc>
      </w:tr>
      <w:tr>
        <w:tc>
          <w:tcPr>
            <w:tcW w:type="dxa" w:w="1980"/>
            <w:tcMar>
              <w:top w:type="dxa" w:w="60"/>
              <w:left w:type="dxa" w:w="100"/>
              <w:bottom w:type="dxa" w:w="60"/>
              <w:right w:type="dxa" w:w="100"/>
            </w:tcMar>
          </w:tcPr>
          <w:p>
            <w:pPr>
              <w:spacing w:after="0" w:line="260"/>
            </w:pPr>
            <w:r>
              <w:rPr>
                <w:sz w:val="19"/>
                <w:szCs w:val="19"/>
              </w:rPr>
              <w:t xml:space="preserve">Checkpoint 1 worklist</w:t>
            </w:r>
          </w:p>
        </w:tc>
        <w:tc>
          <w:tcPr>
            <w:tcW w:type="dxa" w:w="7020"/>
            <w:tcMar>
              <w:top w:type="dxa" w:w="60"/>
              <w:left w:type="dxa" w:w="100"/>
              <w:bottom w:type="dxa" w:w="60"/>
              <w:right w:type="dxa" w:w="100"/>
            </w:tcMar>
          </w:tcPr>
          <w:p>
            <w:pPr>
              <w:spacing w:after="0" w:line="260"/>
            </w:pPr>
            <w:r>
              <w:rPr>
                <w:sz w:val="19"/>
                <w:szCs w:val="19"/>
              </w:rPr>
              <w:t xml:space="preserve">The priority 1 and priority 2 tracing lists built and approved at the close of Phase A. Priority 1 is rows whose rated cooling capacity or rated input power is blank, which have no fallback and where a tracing failure is a permanent hole. Priority 2 is rows with retail values present. Do not rebuild the worklist here; deduplicate it on manufacturer_mpn, set tracing_priority on every row, and report any discrepancy against the approved list before starting.</w:t>
            </w:r>
          </w:p>
        </w:tc>
      </w:tr>
      <w:tr>
        <w:tc>
          <w:tcPr>
            <w:tcW w:type="dxa" w:w="1980"/>
            <w:tcMar>
              <w:top w:type="dxa" w:w="60"/>
              <w:left w:type="dxa" w:w="100"/>
              <w:bottom w:type="dxa" w:w="60"/>
              <w:right w:type="dxa" w:w="100"/>
            </w:tcMar>
          </w:tcPr>
          <w:p>
            <w:pPr>
              <w:spacing w:after="0" w:line="260"/>
            </w:pPr>
            <w:r>
              <w:rPr>
                <w:sz w:val="19"/>
                <w:szCs w:val="19"/>
              </w:rPr>
              <w:t xml:space="preserve">Country</w:t>
            </w:r>
          </w:p>
        </w:tc>
        <w:tc>
          <w:tcPr>
            <w:tcW w:type="dxa" w:w="7020"/>
            <w:tcMar>
              <w:top w:type="dxa" w:w="60"/>
              <w:left w:type="dxa" w:w="100"/>
              <w:bottom w:type="dxa" w:w="60"/>
              <w:right w:type="dxa" w:w="100"/>
            </w:tcMar>
          </w:tcPr>
          <w:p>
            <w:pPr>
              <w:spacing w:after="0" w:line="260"/>
            </w:pPr>
            <w:r>
              <w:rPr>
                <w:sz w:val="19"/>
                <w:szCs w:val="19"/>
              </w:rPr>
              <w:t xml:space="preserve">Kenya / KEN</w:t>
            </w:r>
          </w:p>
        </w:tc>
      </w:tr>
      <w:tr>
        <w:tc>
          <w:tcPr>
            <w:tcW w:type="dxa" w:w="1980"/>
            <w:tcMar>
              <w:top w:type="dxa" w:w="60"/>
              <w:left w:type="dxa" w:w="100"/>
              <w:bottom w:type="dxa" w:w="60"/>
              <w:right w:type="dxa" w:w="100"/>
            </w:tcMar>
          </w:tcPr>
          <w:p>
            <w:pPr>
              <w:spacing w:after="0" w:line="260"/>
            </w:pPr>
            <w:r>
              <w:rPr>
                <w:sz w:val="19"/>
                <w:szCs w:val="19"/>
              </w:rPr>
              <w:t xml:space="preserve">Native metric</w:t>
            </w:r>
          </w:p>
        </w:tc>
        <w:tc>
          <w:tcPr>
            <w:tcW w:type="dxa" w:w="7020"/>
            <w:tcMar>
              <w:top w:type="dxa" w:w="60"/>
              <w:left w:type="dxa" w:w="100"/>
              <w:bottom w:type="dxa" w:w="60"/>
              <w:right w:type="dxa" w:w="100"/>
            </w:tcMar>
          </w:tcPr>
          <w:p>
            <w:pPr>
              <w:spacing w:after="0" w:line="260"/>
            </w:pPr>
            <w:r>
              <w:rPr>
                <w:sz w:val="19"/>
                <w:szCs w:val="19"/>
              </w:rPr>
              <w:t xml:space="preserve">Kenya Energy Label under the Energy (Appliances Energy Performance and Labelling) Regulations 2016, administered by EPRA. One to five stars. Test basis KS 2463 for non-ducted air conditioners. Native metric: EER.</w:t>
            </w:r>
          </w:p>
        </w:tc>
      </w:tr>
    </w:tbl>
    <w:p>
      <w:pPr>
        <w:pStyle w:val="Heading1"/>
        <w:spacing w:after="160" w:before="320"/>
      </w:pPr>
      <w:r>
        <w:t xml:space="preserve">2. Role and task</w:t>
      </w:r>
    </w:p>
    <w:p>
      <w:pPr>
        <w:spacing w:after="120" w:line="276"/>
      </w:pPr>
      <w:r>
        <w:t xml:space="preserve">You are tracing efficiency and capacity values to authoritative sources and adjudicating the final values. Retail values stay in the file as a comparison set and are never overwritten in place.</w:t>
      </w:r>
    </w:p>
    <w:p>
      <w:pPr>
        <w:pStyle w:val="ListParagraph"/>
        <w:numPr>
          <w:ilvl w:val="0"/>
          <w:numId w:val="2"/>
        </w:numPr>
        <w:spacing w:after="80" w:line="276"/>
      </w:pPr>
      <w:r>
        <w:t xml:space="preserve">The final rated efficiency and rated capacity come from a registry or a manufacturer specification sheet. Retail values are used only when neither carries the model.</w:t>
      </w:r>
    </w:p>
    <w:p>
      <w:pPr>
        <w:pStyle w:val="ListParagraph"/>
        <w:numPr>
          <w:ilvl w:val="0"/>
          <w:numId w:val="2"/>
        </w:numPr>
        <w:spacing w:after="80" w:line="276"/>
      </w:pPr>
      <w:r>
        <w:t xml:space="preserve">Record only what the source states. The single permitted computation is rated_eer, plus the two deviation columns in Step 13.</w:t>
      </w:r>
    </w:p>
    <w:p>
      <w:pPr>
        <w:pStyle w:val="ListParagraph"/>
        <w:numPr>
          <w:ilvl w:val="0"/>
          <w:numId w:val="2"/>
        </w:numPr>
        <w:spacing w:after="80" w:line="276"/>
      </w:pPr>
      <w:r>
        <w:t xml:space="preserve">Never infer a missing value from a seasonal metric, a star rating, a class letter or a nominal size class.</w:t>
      </w:r>
    </w:p>
    <w:p>
      <w:pPr>
        <w:pStyle w:val="ListParagraph"/>
        <w:numPr>
          <w:ilvl w:val="0"/>
          <w:numId w:val="2"/>
        </w:numPr>
        <w:spacing w:after="80" w:line="276"/>
      </w:pPr>
      <w:r>
        <w:t xml:space="preserve">Match rates are the object of study, not a target. Do not raise a hit rate by loosening the match criteria.</w:t>
      </w:r>
    </w:p>
    <w:p>
      <w:pPr>
        <w:pStyle w:val="Heading1"/>
        <w:spacing w:after="160" w:before="320"/>
      </w:pPr>
      <w:r>
        <w:t xml:space="preserve">3. Hard constraints</w:t>
      </w:r>
    </w:p>
    <w:p>
      <w:pPr>
        <w:pStyle w:val="ListParagraph"/>
        <w:numPr>
          <w:ilvl w:val="0"/>
          <w:numId w:val="3"/>
        </w:numPr>
        <w:spacing w:after="80" w:line="276"/>
      </w:pPr>
      <w:r>
        <w:t xml:space="preserve">Registries and manufacturer sites are subject to the same rate discipline as retail platforms: at least three seconds between page loads, robots.txt respected, no CAPTCHA or login bypass.</w:t>
      </w:r>
    </w:p>
    <w:p>
      <w:pPr>
        <w:pStyle w:val="ListParagraph"/>
        <w:numPr>
          <w:ilvl w:val="0"/>
          <w:numId w:val="3"/>
        </w:numPr>
        <w:spacing w:after="80" w:line="276"/>
      </w:pPr>
      <w:r>
        <w:t xml:space="preserve">Where a bulk export or downloadable dataset exists, use it instead of querying record by record.</w:t>
      </w:r>
    </w:p>
    <w:p>
      <w:pPr>
        <w:pStyle w:val="ListParagraph"/>
        <w:numPr>
          <w:ilvl w:val="0"/>
          <w:numId w:val="3"/>
        </w:numPr>
        <w:spacing w:after="80" w:line="276"/>
      </w:pPr>
      <w:r>
        <w:t xml:space="preserve">A source blocked to your network egress is recorded as gap code C-geo. Circumvention by proxy, VPN, mirror or cached copy is prohibited without exception.</w:t>
      </w:r>
    </w:p>
    <w:p>
      <w:pPr>
        <w:pStyle w:val="ListParagraph"/>
        <w:numPr>
          <w:ilvl w:val="0"/>
          <w:numId w:val="3"/>
        </w:numPr>
        <w:spacing w:after="80" w:line="276"/>
      </w:pPr>
      <w:r>
        <w:t xml:space="preserve">Never delete a record because tracing failed. Leave the field blank, assign a gap code, and keep the row.</w:t>
      </w:r>
    </w:p>
    <w:p>
      <w:pPr>
        <w:pStyle w:val="ListParagraph"/>
        <w:numPr>
          <w:ilvl w:val="0"/>
          <w:numId w:val="3"/>
        </w:numPr>
        <w:spacing w:after="80" w:line="276"/>
      </w:pPr>
      <w:r>
        <w:t xml:space="preserve">Do not record personal data from any source.</w:t>
      </w:r>
    </w:p>
    <w:p>
      <w:pPr>
        <w:pStyle w:val="Heading1"/>
        <w:spacing w:after="160" w:before="320"/>
      </w:pPr>
      <w:r>
        <w:t xml:space="preserve">4. Procedure</w:t>
      </w:r>
    </w:p>
    <w:p>
      <w:pPr>
        <w:pStyle w:val="Heading2"/>
        <w:spacing w:after="130" w:before="260"/>
      </w:pPr>
      <w:r>
        <w:t xml:space="preserve">Step 9　Source inventory and reachability check</w:t>
      </w:r>
    </w:p>
    <w:p>
      <w:pPr>
        <w:spacing w:after="120" w:line="276"/>
      </w:pPr>
      <w:r>
        <w:t xml:space="preserve">Open each source below and run one test query. Report reachability before proceeding.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340"/>
        <w:gridCol w:w="5940"/>
      </w:tblGrid>
      <w:tr>
        <w:trPr>
          <w:tblHeader/>
        </w:trPr>
        <w:tc>
          <w:tcPr>
            <w:tcW w:type="dxa" w:w="720"/>
            <w:shd w:fill="E8EDF2" w:color="auto" w:val="clear"/>
            <w:tcMar>
              <w:top w:type="dxa" w:w="60"/>
              <w:left w:type="dxa" w:w="100"/>
              <w:bottom w:type="dxa" w:w="60"/>
              <w:right w:type="dxa" w:w="100"/>
            </w:tcMar>
          </w:tcPr>
          <w:p>
            <w:pPr>
              <w:spacing w:after="0" w:line="260"/>
            </w:pPr>
            <w:r>
              <w:rPr>
                <w:b/>
                <w:bCs/>
                <w:sz w:val="19"/>
                <w:szCs w:val="19"/>
              </w:rPr>
              <w:t xml:space="preserve">Tier</w:t>
            </w:r>
          </w:p>
        </w:tc>
        <w:tc>
          <w:tcPr>
            <w:tcW w:type="dxa" w:w="23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5940"/>
            <w:shd w:fill="E8EDF2" w:color="auto" w:val="clear"/>
            <w:tcMar>
              <w:top w:type="dxa" w:w="60"/>
              <w:left w:type="dxa" w:w="100"/>
              <w:bottom w:type="dxa" w:w="60"/>
              <w:right w:type="dxa" w:w="100"/>
            </w:tcMar>
          </w:tcPr>
          <w:p>
            <w:pPr>
              <w:spacing w:after="0" w:line="260"/>
            </w:pPr>
            <w:r>
              <w:rPr>
                <w:b/>
                <w:bCs/>
                <w:sz w:val="19"/>
                <w:szCs w:val="19"/>
              </w:rPr>
              <w:t xml:space="preserve">Notes</w:t>
            </w:r>
          </w:p>
        </w:tc>
      </w:tr>
      <w:tr>
        <w:tc>
          <w:tcPr>
            <w:tcW w:type="dxa" w:w="720"/>
            <w:tcMar>
              <w:top w:type="dxa" w:w="60"/>
              <w:left w:type="dxa" w:w="100"/>
              <w:bottom w:type="dxa" w:w="60"/>
              <w:right w:type="dxa" w:w="100"/>
            </w:tcMar>
          </w:tcPr>
          <w:p>
            <w:pPr>
              <w:spacing w:after="0" w:line="260"/>
            </w:pPr>
            <w:r>
              <w:rPr>
                <w:sz w:val="19"/>
                <w:szCs w:val="19"/>
              </w:rPr>
              <w:t xml:space="preserve">T1a</w:t>
            </w:r>
          </w:p>
        </w:tc>
        <w:tc>
          <w:tcPr>
            <w:tcW w:type="dxa" w:w="2340"/>
            <w:tcMar>
              <w:top w:type="dxa" w:w="60"/>
              <w:left w:type="dxa" w:w="100"/>
              <w:bottom w:type="dxa" w:w="60"/>
              <w:right w:type="dxa" w:w="100"/>
            </w:tcMar>
          </w:tcPr>
          <w:p>
            <w:pPr>
              <w:spacing w:after="0" w:line="260"/>
            </w:pPr>
            <w:r>
              <w:rPr>
                <w:sz w:val="19"/>
                <w:szCs w:val="19"/>
              </w:rPr>
              <w:t xml:space="preserve">EPRA appliance register</w:t>
            </w:r>
          </w:p>
        </w:tc>
        <w:tc>
          <w:tcPr>
            <w:tcW w:type="dxa" w:w="5940"/>
            <w:tcMar>
              <w:top w:type="dxa" w:w="60"/>
              <w:left w:type="dxa" w:w="100"/>
              <w:bottom w:type="dxa" w:w="60"/>
              <w:right w:type="dxa" w:w="100"/>
            </w:tcMar>
          </w:tcPr>
          <w:p>
            <w:pPr>
              <w:spacing w:after="0" w:line="260"/>
            </w:pPr>
            <w:r>
              <w:rPr>
                <w:sz w:val="19"/>
                <w:szCs w:val="19"/>
              </w:rPr>
              <w:t xml:space="preserve">EPRA maintains a register of appliances meeting the MEPS, covering refrigerators, air conditioners, motors and fluorescent lamps. Establish at the pre-check whether the register is publicly searchable, whether it exposes model-level records, and whether a downloadable list exists. If it is reachable only as a periodic PDF list, download it and match offline.</w:t>
            </w:r>
          </w:p>
        </w:tc>
      </w:tr>
      <w:tr>
        <w:tc>
          <w:tcPr>
            <w:tcW w:type="dxa" w:w="720"/>
            <w:tcMar>
              <w:top w:type="dxa" w:w="60"/>
              <w:left w:type="dxa" w:w="100"/>
              <w:bottom w:type="dxa" w:w="60"/>
              <w:right w:type="dxa" w:w="100"/>
            </w:tcMar>
          </w:tcPr>
          <w:p>
            <w:pPr>
              <w:spacing w:after="0" w:line="260"/>
            </w:pPr>
            <w:r>
              <w:rPr>
                <w:sz w:val="19"/>
                <w:szCs w:val="19"/>
              </w:rPr>
              <w:t xml:space="preserve">T1a</w:t>
            </w:r>
          </w:p>
        </w:tc>
        <w:tc>
          <w:tcPr>
            <w:tcW w:type="dxa" w:w="2340"/>
            <w:tcMar>
              <w:top w:type="dxa" w:w="60"/>
              <w:left w:type="dxa" w:w="100"/>
              <w:bottom w:type="dxa" w:w="60"/>
              <w:right w:type="dxa" w:w="100"/>
            </w:tcMar>
          </w:tcPr>
          <w:p>
            <w:pPr>
              <w:spacing w:after="0" w:line="260"/>
            </w:pPr>
            <w:r>
              <w:rPr>
                <w:sz w:val="19"/>
                <w:szCs w:val="19"/>
              </w:rPr>
              <w:t xml:space="preserve">KEBS, Kenya Bureau of Standards</w:t>
            </w:r>
          </w:p>
        </w:tc>
        <w:tc>
          <w:tcPr>
            <w:tcW w:type="dxa" w:w="5940"/>
            <w:tcMar>
              <w:top w:type="dxa" w:w="60"/>
              <w:left w:type="dxa" w:w="100"/>
              <w:bottom w:type="dxa" w:w="60"/>
              <w:right w:type="dxa" w:w="100"/>
            </w:tcMar>
          </w:tcPr>
          <w:p>
            <w:pPr>
              <w:spacing w:after="0" w:line="260"/>
            </w:pPr>
            <w:r>
              <w:rPr>
                <w:sz w:val="19"/>
                <w:szCs w:val="19"/>
              </w:rPr>
              <w:t xml:space="preserve">Holder of KS 2463, the non-ducted air conditioner test and rating standard, which is limited to single-circuit systems with one evaporator and one condenser. A standards catalogue rather than a product register.</w:t>
            </w:r>
          </w:p>
        </w:tc>
      </w:tr>
      <w:tr>
        <w:tc>
          <w:tcPr>
            <w:tcW w:type="dxa" w:w="720"/>
            <w:tcMar>
              <w:top w:type="dxa" w:w="60"/>
              <w:left w:type="dxa" w:w="100"/>
              <w:bottom w:type="dxa" w:w="60"/>
              <w:right w:type="dxa" w:w="100"/>
            </w:tcMar>
          </w:tcPr>
          <w:p>
            <w:pPr>
              <w:spacing w:after="0" w:line="260"/>
            </w:pPr>
            <w:r>
              <w:rPr>
                <w:sz w:val="19"/>
                <w:szCs w:val="19"/>
              </w:rPr>
              <w:t xml:space="preserve">T1b</w:t>
            </w:r>
          </w:p>
        </w:tc>
        <w:tc>
          <w:tcPr>
            <w:tcW w:type="dxa" w:w="2340"/>
            <w:tcMar>
              <w:top w:type="dxa" w:w="60"/>
              <w:left w:type="dxa" w:w="100"/>
              <w:bottom w:type="dxa" w:w="60"/>
              <w:right w:type="dxa" w:w="100"/>
            </w:tcMar>
          </w:tcPr>
          <w:p>
            <w:pPr>
              <w:spacing w:after="0" w:line="260"/>
            </w:pPr>
            <w:r>
              <w:rPr>
                <w:sz w:val="19"/>
                <w:szCs w:val="19"/>
              </w:rPr>
              <w:t xml:space="preserve">Manufacturer sites</w:t>
            </w:r>
          </w:p>
        </w:tc>
        <w:tc>
          <w:tcPr>
            <w:tcW w:type="dxa" w:w="5940"/>
            <w:tcMar>
              <w:top w:type="dxa" w:w="60"/>
              <w:left w:type="dxa" w:w="100"/>
              <w:bottom w:type="dxa" w:w="60"/>
              <w:right w:type="dxa" w:w="100"/>
            </w:tcMar>
          </w:tcPr>
          <w:p>
            <w:pPr>
              <w:spacing w:after="0" w:line="260"/>
            </w:pPr>
            <w:r>
              <w:rPr>
                <w:sz w:val="19"/>
                <w:szCs w:val="19"/>
              </w:rPr>
              <w:t xml:space="preserve">LG, Samsung, Hisense, Midea, Gree, TCL, Haier, Daikin, Carrier for international brands; Ramtons, Von, Bruhm, Armco, Mika, Nunix, Roch for regional brands. Locate each site by searching the brand name plus Kenya rather than constructing a domain, and log the domain actually used. Official specification sheets and product pages only.</w:t>
            </w:r>
          </w:p>
        </w:tc>
      </w:tr>
      <w:tr>
        <w:tc>
          <w:tcPr>
            <w:tcW w:type="dxa" w:w="720"/>
            <w:tcMar>
              <w:top w:type="dxa" w:w="60"/>
              <w:left w:type="dxa" w:w="100"/>
              <w:bottom w:type="dxa" w:w="60"/>
              <w:right w:type="dxa" w:w="100"/>
            </w:tcMar>
          </w:tcPr>
          <w:p>
            <w:pPr>
              <w:spacing w:after="0" w:line="260"/>
            </w:pPr>
            <w:r>
              <w:rPr>
                <w:sz w:val="19"/>
                <w:szCs w:val="19"/>
              </w:rPr>
              <w:t xml:space="preserve">T1c</w:t>
            </w:r>
          </w:p>
        </w:tc>
        <w:tc>
          <w:tcPr>
            <w:tcW w:type="dxa" w:w="2340"/>
            <w:tcMar>
              <w:top w:type="dxa" w:w="60"/>
              <w:left w:type="dxa" w:w="100"/>
              <w:bottom w:type="dxa" w:w="60"/>
              <w:right w:type="dxa" w:w="100"/>
            </w:tcMar>
          </w:tcPr>
          <w:p>
            <w:pPr>
              <w:spacing w:after="0" w:line="260"/>
            </w:pPr>
            <w:r>
              <w:rPr>
                <w:sz w:val="19"/>
                <w:szCs w:val="19"/>
              </w:rPr>
              <w:t xml:space="preserve">Label images from Phase A</w:t>
            </w:r>
          </w:p>
        </w:tc>
        <w:tc>
          <w:tcPr>
            <w:tcW w:type="dxa" w:w="5940"/>
            <w:tcMar>
              <w:top w:type="dxa" w:w="60"/>
              <w:left w:type="dxa" w:w="100"/>
              <w:bottom w:type="dxa" w:w="60"/>
              <w:right w:type="dxa" w:w="100"/>
            </w:tcMar>
          </w:tcPr>
          <w:p>
            <w:pPr>
              <w:spacing w:after="0" w:line="260"/>
            </w:pPr>
            <w:r>
              <w:rPr>
                <w:sz w:val="19"/>
                <w:szCs w:val="19"/>
              </w:rPr>
              <w:t xml:space="preserve">Already on disk. No further retrieval needed.</w:t>
            </w:r>
          </w:p>
        </w:tc>
      </w:tr>
    </w:tbl>
    <w:p>
      <w:pPr>
        <w:pStyle w:val="ListParagraph"/>
        <w:numPr>
          <w:ilvl w:val="0"/>
          <w:numId w:val="2"/>
        </w:numPr>
        <w:spacing w:after="80" w:line="276"/>
      </w:pPr>
      <w:r>
        <w:t xml:space="preserve">Report which sources are reachable, which are blocked, and which offer a bulk export.</w:t>
      </w:r>
    </w:p>
    <w:p>
      <w:pPr>
        <w:pStyle w:val="ListParagraph"/>
        <w:numPr>
          <w:ilvl w:val="0"/>
          <w:numId w:val="2"/>
        </w:numPr>
        <w:spacing w:after="80" w:line="276"/>
      </w:pPr>
      <w:r>
        <w:t xml:space="preserve">If the tier ordering for this market differs from the general T1a to T1b to T1c order, state the working order explicitly before starting.</w:t>
      </w:r>
    </w:p>
    <w:p>
      <w:pPr>
        <w:pStyle w:val="Heading2"/>
        <w:spacing w:after="130" w:before="260"/>
      </w:pPr>
      <w:r>
        <w:t xml:space="preserve">Step 10　Registry matching</w:t>
      </w:r>
    </w:p>
    <w:p>
      <w:pPr>
        <w:spacing w:after="120" w:line="276"/>
      </w:pPr>
      <w:r>
        <w:t xml:space="preserve">manufacturer_mpn is the join key. It is the manufacturer model code and the only identifier registries carry.</w:t>
      </w:r>
    </w:p>
    <w:p>
      <w:pPr>
        <w:spacing w:after="120" w:line="276"/>
      </w:pPr>
      <w:r>
        <w:rPr>
          <w:b/>
          <w:bCs/>
        </w:rPr>
        <w:t xml:space="preserve">platform_sku is not a model code. A platform item id is assigned by the platform, appears in no registry, and must never be used for matching. Colour and size variants of one model carry different platform_sku values, and sellers sometimes fill the model row of a specification table with one, so check the format before using the value.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4680"/>
        <w:gridCol w:w="3600"/>
      </w:tblGrid>
      <w:tr>
        <w:trPr>
          <w:tblHeader/>
        </w:trPr>
        <w:tc>
          <w:tcPr>
            <w:tcW w:type="dxa" w:w="720"/>
            <w:shd w:fill="E8EDF2" w:color="auto" w:val="clear"/>
            <w:tcMar>
              <w:top w:type="dxa" w:w="60"/>
              <w:left w:type="dxa" w:w="100"/>
              <w:bottom w:type="dxa" w:w="60"/>
              <w:right w:type="dxa" w:w="100"/>
            </w:tcMar>
          </w:tcPr>
          <w:p>
            <w:pPr>
              <w:spacing w:after="0" w:line="260"/>
            </w:pPr>
            <w:r>
              <w:rPr>
                <w:b/>
                <w:bCs/>
                <w:sz w:val="19"/>
                <w:szCs w:val="19"/>
              </w:rPr>
              <w:t xml:space="preserve">Order</w:t>
            </w:r>
          </w:p>
        </w:tc>
        <w:tc>
          <w:tcPr>
            <w:tcW w:type="dxa" w:w="4680"/>
            <w:shd w:fill="E8EDF2" w:color="auto" w:val="clear"/>
            <w:tcMar>
              <w:top w:type="dxa" w:w="60"/>
              <w:left w:type="dxa" w:w="100"/>
              <w:bottom w:type="dxa" w:w="60"/>
              <w:right w:type="dxa" w:w="100"/>
            </w:tcMar>
          </w:tcPr>
          <w:p>
            <w:pPr>
              <w:spacing w:after="0" w:line="260"/>
            </w:pPr>
            <w:r>
              <w:rPr>
                <w:b/>
                <w:bCs/>
                <w:sz w:val="19"/>
                <w:szCs w:val="19"/>
              </w:rPr>
              <w:t xml:space="preserve">Method</w:t>
            </w:r>
          </w:p>
        </w:tc>
        <w:tc>
          <w:tcPr>
            <w:tcW w:type="dxa" w:w="3600"/>
            <w:shd w:fill="E8EDF2" w:color="auto" w:val="clear"/>
            <w:tcMar>
              <w:top w:type="dxa" w:w="60"/>
              <w:left w:type="dxa" w:w="100"/>
              <w:bottom w:type="dxa" w:w="60"/>
              <w:right w:type="dxa" w:w="100"/>
            </w:tcMar>
          </w:tcPr>
          <w:p>
            <w:pPr>
              <w:spacing w:after="0" w:line="260"/>
            </w:pPr>
            <w:r>
              <w:rPr>
                <w:b/>
                <w:bCs/>
                <w:sz w:val="19"/>
                <w:szCs w:val="19"/>
              </w:rPr>
              <w:t xml:space="preserve">Result</w:t>
            </w:r>
          </w:p>
        </w:tc>
      </w:tr>
      <w:tr>
        <w:tc>
          <w:tcPr>
            <w:tcW w:type="dxa" w:w="720"/>
            <w:tcMar>
              <w:top w:type="dxa" w:w="60"/>
              <w:left w:type="dxa" w:w="100"/>
              <w:bottom w:type="dxa" w:w="60"/>
              <w:right w:type="dxa" w:w="100"/>
            </w:tcMar>
          </w:tcPr>
          <w:p>
            <w:pPr>
              <w:spacing w:after="0" w:line="260"/>
            </w:pPr>
            <w:r>
              <w:rPr>
                <w:sz w:val="19"/>
                <w:szCs w:val="19"/>
              </w:rPr>
              <w:t xml:space="preserve">0</w:t>
            </w:r>
          </w:p>
        </w:tc>
        <w:tc>
          <w:tcPr>
            <w:tcW w:type="dxa" w:w="4680"/>
            <w:tcMar>
              <w:top w:type="dxa" w:w="60"/>
              <w:left w:type="dxa" w:w="100"/>
              <w:bottom w:type="dxa" w:w="60"/>
              <w:right w:type="dxa" w:w="100"/>
            </w:tcMar>
          </w:tcPr>
          <w:p>
            <w:pPr>
              <w:spacing w:after="0" w:line="260"/>
            </w:pPr>
            <w:r>
              <w:rPr>
                <w:sz w:val="19"/>
                <w:szCs w:val="19"/>
              </w:rPr>
              <w:t xml:space="preserve">Model recovery, only for rows where mpn_missing is true: read the model code from the product title, the specification table, or the energy label image, in that order</w:t>
            </w:r>
          </w:p>
        </w:tc>
        <w:tc>
          <w:tcPr>
            <w:tcW w:type="dxa" w:w="3600"/>
            <w:tcMar>
              <w:top w:type="dxa" w:w="60"/>
              <w:left w:type="dxa" w:w="100"/>
              <w:bottom w:type="dxa" w:w="60"/>
              <w:right w:type="dxa" w:w="100"/>
            </w:tcMar>
          </w:tcPr>
          <w:p>
            <w:pPr>
              <w:spacing w:after="0" w:line="260"/>
            </w:pPr>
            <w:r>
              <w:rPr>
                <w:sz w:val="19"/>
                <w:szCs w:val="19"/>
              </w:rPr>
              <w:t xml:space="preserve">Record mpn_recovered_from; on success return to order 1</w:t>
            </w:r>
          </w:p>
        </w:tc>
      </w:tr>
      <w:tr>
        <w:tc>
          <w:tcPr>
            <w:tcW w:type="dxa" w:w="720"/>
            <w:tcMar>
              <w:top w:type="dxa" w:w="60"/>
              <w:left w:type="dxa" w:w="100"/>
              <w:bottom w:type="dxa" w:w="60"/>
              <w:right w:type="dxa" w:w="100"/>
            </w:tcMar>
          </w:tcPr>
          <w:p>
            <w:pPr>
              <w:spacing w:after="0" w:line="260"/>
            </w:pPr>
            <w:r>
              <w:rPr>
                <w:sz w:val="19"/>
                <w:szCs w:val="19"/>
              </w:rPr>
              <w:t xml:space="preserve">1</w:t>
            </w:r>
          </w:p>
        </w:tc>
        <w:tc>
          <w:tcPr>
            <w:tcW w:type="dxa" w:w="4680"/>
            <w:tcMar>
              <w:top w:type="dxa" w:w="60"/>
              <w:left w:type="dxa" w:w="100"/>
              <w:bottom w:type="dxa" w:w="60"/>
              <w:right w:type="dxa" w:w="100"/>
            </w:tcMar>
          </w:tcPr>
          <w:p>
            <w:pPr>
              <w:spacing w:after="0" w:line="260"/>
            </w:pPr>
            <w:r>
              <w:rPr>
                <w:sz w:val="19"/>
                <w:szCs w:val="19"/>
              </w:rPr>
              <w:t xml:space="preserve">Exact match on manufacturer_mpn</w:t>
            </w:r>
          </w:p>
        </w:tc>
        <w:tc>
          <w:tcPr>
            <w:tcW w:type="dxa" w:w="3600"/>
            <w:tcMar>
              <w:top w:type="dxa" w:w="60"/>
              <w:left w:type="dxa" w:w="100"/>
              <w:bottom w:type="dxa" w:w="60"/>
              <w:right w:type="dxa" w:w="100"/>
            </w:tcMar>
          </w:tcPr>
          <w:p>
            <w:pPr>
              <w:spacing w:after="0" w:line="260"/>
            </w:pPr>
            <w:r>
              <w:rPr>
                <w:sz w:val="19"/>
                <w:szCs w:val="19"/>
              </w:rPr>
              <w:t xml:space="preserve">Proceed to extraction</w:t>
            </w:r>
          </w:p>
        </w:tc>
      </w:tr>
      <w:tr>
        <w:tc>
          <w:tcPr>
            <w:tcW w:type="dxa" w:w="720"/>
            <w:tcMar>
              <w:top w:type="dxa" w:w="60"/>
              <w:left w:type="dxa" w:w="100"/>
              <w:bottom w:type="dxa" w:w="60"/>
              <w:right w:type="dxa" w:w="100"/>
            </w:tcMar>
          </w:tcPr>
          <w:p>
            <w:pPr>
              <w:spacing w:after="0" w:line="260"/>
            </w:pPr>
            <w:r>
              <w:rPr>
                <w:sz w:val="19"/>
                <w:szCs w:val="19"/>
              </w:rPr>
              <w:t xml:space="preserve">2</w:t>
            </w:r>
          </w:p>
        </w:tc>
        <w:tc>
          <w:tcPr>
            <w:tcW w:type="dxa" w:w="4680"/>
            <w:tcMar>
              <w:top w:type="dxa" w:w="60"/>
              <w:left w:type="dxa" w:w="100"/>
              <w:bottom w:type="dxa" w:w="60"/>
              <w:right w:type="dxa" w:w="100"/>
            </w:tcMar>
          </w:tcPr>
          <w:p>
            <w:pPr>
              <w:spacing w:after="0" w:line="260"/>
            </w:pPr>
            <w:r>
              <w:rPr>
                <w:sz w:val="19"/>
                <w:szCs w:val="19"/>
              </w:rPr>
              <w:t xml:space="preserve">Wildcard match after stripping colour codes, regional codes, model-year and packaging suffixes</w:t>
            </w:r>
          </w:p>
        </w:tc>
        <w:tc>
          <w:tcPr>
            <w:tcW w:type="dxa" w:w="3600"/>
            <w:tcMar>
              <w:top w:type="dxa" w:w="60"/>
              <w:left w:type="dxa" w:w="100"/>
              <w:bottom w:type="dxa" w:w="60"/>
              <w:right w:type="dxa" w:w="100"/>
            </w:tcMar>
          </w:tcPr>
          <w:p>
            <w:pPr>
              <w:spacing w:after="0" w:line="260"/>
            </w:pPr>
            <w:r>
              <w:rPr>
                <w:sz w:val="19"/>
                <w:szCs w:val="19"/>
              </w:rPr>
              <w:t xml:space="preserve">Log the suffix rule used</w:t>
            </w:r>
          </w:p>
        </w:tc>
      </w:tr>
      <w:tr>
        <w:tc>
          <w:tcPr>
            <w:tcW w:type="dxa" w:w="720"/>
            <w:tcMar>
              <w:top w:type="dxa" w:w="60"/>
              <w:left w:type="dxa" w:w="100"/>
              <w:bottom w:type="dxa" w:w="60"/>
              <w:right w:type="dxa" w:w="100"/>
            </w:tcMar>
          </w:tcPr>
          <w:p>
            <w:pPr>
              <w:spacing w:after="0" w:line="260"/>
            </w:pPr>
            <w:r>
              <w:rPr>
                <w:sz w:val="19"/>
                <w:szCs w:val="19"/>
              </w:rPr>
              <w:t xml:space="preserve">3</w:t>
            </w:r>
          </w:p>
        </w:tc>
        <w:tc>
          <w:tcPr>
            <w:tcW w:type="dxa" w:w="4680"/>
            <w:tcMar>
              <w:top w:type="dxa" w:w="60"/>
              <w:left w:type="dxa" w:w="100"/>
              <w:bottom w:type="dxa" w:w="60"/>
              <w:right w:type="dxa" w:w="100"/>
            </w:tcMar>
          </w:tcPr>
          <w:p>
            <w:pPr>
              <w:spacing w:after="0" w:line="260"/>
            </w:pPr>
            <w:r>
              <w:rPr>
                <w:sz w:val="19"/>
                <w:szCs w:val="19"/>
              </w:rPr>
              <w:t xml:space="preserve">Brand plus the model fragment in the product name plus capacity class</w:t>
            </w:r>
          </w:p>
        </w:tc>
        <w:tc>
          <w:tcPr>
            <w:tcW w:type="dxa" w:w="3600"/>
            <w:tcMar>
              <w:top w:type="dxa" w:w="60"/>
              <w:left w:type="dxa" w:w="100"/>
              <w:bottom w:type="dxa" w:w="60"/>
              <w:right w:type="dxa" w:w="100"/>
            </w:tcMar>
          </w:tcPr>
          <w:p>
            <w:pPr>
              <w:spacing w:after="0" w:line="260"/>
            </w:pPr>
            <w:r>
              <w:rPr>
                <w:sz w:val="19"/>
                <w:szCs w:val="19"/>
              </w:rPr>
              <w:t xml:space="preserve">Set match_ambiguous to true and record the candidate count</w:t>
            </w:r>
          </w:p>
        </w:tc>
      </w:tr>
      <w:tr>
        <w:tc>
          <w:tcPr>
            <w:tcW w:type="dxa" w:w="720"/>
            <w:tcMar>
              <w:top w:type="dxa" w:w="60"/>
              <w:left w:type="dxa" w:w="100"/>
              <w:bottom w:type="dxa" w:w="60"/>
              <w:right w:type="dxa" w:w="100"/>
            </w:tcMar>
          </w:tcPr>
          <w:p>
            <w:pPr>
              <w:spacing w:after="0" w:line="260"/>
            </w:pPr>
            <w:r>
              <w:rPr>
                <w:sz w:val="19"/>
                <w:szCs w:val="19"/>
              </w:rPr>
              <w:t xml:space="preserve">4</w:t>
            </w:r>
          </w:p>
        </w:tc>
        <w:tc>
          <w:tcPr>
            <w:tcW w:type="dxa" w:w="4680"/>
            <w:tcMar>
              <w:top w:type="dxa" w:w="60"/>
              <w:left w:type="dxa" w:w="100"/>
              <w:bottom w:type="dxa" w:w="60"/>
              <w:right w:type="dxa" w:w="100"/>
            </w:tcMar>
          </w:tcPr>
          <w:p>
            <w:pPr>
              <w:spacing w:after="0" w:line="260"/>
            </w:pPr>
            <w:r>
              <w:rPr>
                <w:sz w:val="19"/>
                <w:szCs w:val="19"/>
              </w:rPr>
              <w:t xml:space="preserve">No match</w:t>
            </w:r>
          </w:p>
        </w:tc>
        <w:tc>
          <w:tcPr>
            <w:tcW w:type="dxa" w:w="3600"/>
            <w:tcMar>
              <w:top w:type="dxa" w:w="60"/>
              <w:left w:type="dxa" w:w="100"/>
              <w:bottom w:type="dxa" w:w="60"/>
              <w:right w:type="dxa" w:w="100"/>
            </w:tcMar>
          </w:tcPr>
          <w:p>
            <w:pPr>
              <w:spacing w:after="0" w:line="260"/>
            </w:pPr>
            <w:r>
              <w:rPr>
                <w:sz w:val="19"/>
                <w:szCs w:val="19"/>
              </w:rPr>
              <w:t xml:space="preserve">Gap code B, continue to Step 11</w:t>
            </w:r>
          </w:p>
        </w:tc>
      </w:tr>
    </w:tbl>
    <w:p>
      <w:pPr>
        <w:pStyle w:val="ListParagraph"/>
        <w:numPr>
          <w:ilvl w:val="0"/>
          <w:numId w:val="2"/>
        </w:numPr>
        <w:spacing w:after="80" w:line="276"/>
      </w:pPr>
      <w:r>
        <w:t xml:space="preserve">Where the three model sources disagree, the label image wins, because the model printed on a label must match the registered record.</w:t>
      </w:r>
    </w:p>
    <w:p>
      <w:pPr>
        <w:pStyle w:val="ListParagraph"/>
        <w:numPr>
          <w:ilvl w:val="0"/>
          <w:numId w:val="2"/>
        </w:numPr>
        <w:spacing w:after="80" w:line="276"/>
      </w:pPr>
      <w:r>
        <w:t xml:space="preserve">Where several candidates match and their efficiency values differ by more than five percent, do not pick one. Set match_ambiguous to true, leave the value blank, and list the candidates for human adjudication.</w:t>
      </w:r>
    </w:p>
    <w:p>
      <w:pPr>
        <w:pStyle w:val="ListParagraph"/>
        <w:numPr>
          <w:ilvl w:val="0"/>
          <w:numId w:val="2"/>
        </w:numPr>
        <w:spacing w:after="80" w:line="276"/>
      </w:pPr>
      <w:r>
        <w:t xml:space="preserve">Suffix stripping rules are defined once for the run and written to the log. Do not invent a rule per record.</w:t>
      </w:r>
    </w:p>
    <w:p>
      <w:pPr>
        <w:pStyle w:val="ListParagraph"/>
        <w:numPr>
          <w:ilvl w:val="0"/>
          <w:numId w:val="2"/>
        </w:numPr>
        <w:spacing w:after="80" w:line="276"/>
      </w:pPr>
      <w:r>
        <w:t xml:space="preserve">Order 3 hits very easily return several model years and efficiency tiers within one series, and the error is invisible in the data. Every order 3 hit carries match_ambiguous true.</w:t>
      </w:r>
    </w:p>
    <w:p>
      <w:pPr>
        <w:pStyle w:val="ListParagraph"/>
        <w:numPr>
          <w:ilvl w:val="0"/>
          <w:numId w:val="2"/>
        </w:numPr>
        <w:spacing w:after="80" w:line="276"/>
      </w:pPr>
      <w:r>
        <w:t xml:space="preserve">A row with no recoverable model string is never deleted for failing to match. Such products skew toward local and unbranded models, so deletion manufactures non-random missingness.</w:t>
      </w:r>
    </w:p>
    <w:p>
      <w:pPr>
        <w:pStyle w:val="ListParagraph"/>
        <w:numPr>
          <w:ilvl w:val="0"/>
          <w:numId w:val="2"/>
        </w:numPr>
        <w:spacing w:after="80" w:line="276"/>
      </w:pPr>
      <w:r>
        <w:t xml:space="preserve">Extract the native efficiency value, the native metric name, the grade, the label version, rated cooling capacity and rated input power. Capacity and power go into the fields with the _auth suffix.</w:t>
      </w:r>
    </w:p>
    <w:p>
      <w:pPr>
        <w:pStyle w:val="Heading2"/>
        <w:spacing w:after="130" w:before="260"/>
      </w:pPr>
      <w:r>
        <w:t xml:space="preserve">Step 11　Manufacturer specification sheets and label images</w:t>
      </w:r>
    </w:p>
    <w:p>
      <w:pPr>
        <w:pStyle w:val="ListParagraph"/>
        <w:numPr>
          <w:ilvl w:val="0"/>
          <w:numId w:val="2"/>
        </w:numPr>
        <w:spacing w:after="80" w:line="276"/>
      </w:pPr>
      <w:r>
        <w:t xml:space="preserve">Models the registry did not resolve go to the manufacturer own site. Priority 1 rows come here even when the registry supplied an efficiency value, if capacity or input power is still blank.</w:t>
      </w:r>
    </w:p>
    <w:p>
      <w:pPr>
        <w:pStyle w:val="ListParagraph"/>
        <w:numPr>
          <w:ilvl w:val="0"/>
          <w:numId w:val="2"/>
        </w:numPr>
        <w:spacing w:after="80" w:line="276"/>
      </w:pPr>
      <w:r>
        <w:t xml:space="preserve">Only the manufacturer own pages and the PDFs they host qualify. Dealer pages, price comparison sites and third-party databases do not, however accurate they look.</w:t>
      </w:r>
    </w:p>
    <w:p>
      <w:pPr>
        <w:pStyle w:val="ListParagraph"/>
        <w:numPr>
          <w:ilvl w:val="0"/>
          <w:numId w:val="2"/>
        </w:numPr>
        <w:spacing w:after="80" w:line="276"/>
      </w:pPr>
      <w:r>
        <w:t xml:space="preserve">Where a model has several market versions, take the version for this country. If it cannot be determined, set match_ambiguous to true and list the candidates.</w:t>
      </w:r>
    </w:p>
    <w:p>
      <w:pPr>
        <w:pStyle w:val="ListParagraph"/>
        <w:numPr>
          <w:ilvl w:val="0"/>
          <w:numId w:val="2"/>
        </w:numPr>
        <w:spacing w:after="80" w:line="276"/>
      </w:pPr>
      <w:r>
        <w:t xml:space="preserve">A specification sheet is also the route to a missing rated capacity or input power, which is what decides whether rated_eer can be computed at all.</w:t>
      </w:r>
    </w:p>
    <w:p>
      <w:pPr>
        <w:pStyle w:val="ListParagraph"/>
        <w:numPr>
          <w:ilvl w:val="0"/>
          <w:numId w:val="2"/>
        </w:numPr>
        <w:spacing w:after="80" w:line="276"/>
      </w:pPr>
      <w:r>
        <w:t xml:space="preserve">Where the registry and the manufacturer site both fail, fall back to the T1c label images already saved in Phase A. Do not return to the retail listing for this. Read the model, the grade, the label version and the efficiency value, and set efficiency_source_tier to t1c_label_image.</w:t>
      </w:r>
    </w:p>
    <w:p>
      <w:pPr>
        <w:pStyle w:val="ListParagraph"/>
        <w:numPr>
          <w:ilvl w:val="0"/>
          <w:numId w:val="2"/>
        </w:numPr>
        <w:spacing w:after="80" w:line="276"/>
      </w:pPr>
      <w:r>
        <w:t xml:space="preserve">A label carries the efficiency figure and the grade but not always the rated input power, so a label-sourced row may still need a specification sheet before rated_eer can be computed.</w:t>
      </w:r>
    </w:p>
    <w:p>
      <w:pPr>
        <w:pStyle w:val="Heading2"/>
        <w:spacing w:after="130" w:before="260"/>
      </w:pPr>
      <w:r>
        <w:t xml:space="preserve">Step 12　Evidence capture</w:t>
      </w:r>
    </w:p>
    <w:p>
      <w:pPr>
        <w:pStyle w:val="ListParagraph"/>
        <w:numPr>
          <w:ilvl w:val="0"/>
          <w:numId w:val="2"/>
        </w:numPr>
        <w:spacing w:after="80" w:line="276"/>
      </w:pPr>
      <w:r>
        <w:t xml:space="preserve">Save a full-page PNG of every source that produced a value; save hosted specification PDFs in their original form.</w:t>
      </w:r>
    </w:p>
    <w:p>
      <w:pPr>
        <w:pStyle w:val="ListParagraph"/>
        <w:numPr>
          <w:ilvl w:val="0"/>
          <w:numId w:val="2"/>
        </w:numPr>
        <w:spacing w:after="80" w:line="276"/>
      </w:pPr>
      <w:r>
        <w:t xml:space="preserve">Capture evidence for hits only. Searches that found nothing get no snapshot; record in the log which sources were searched and how.</w:t>
      </w:r>
    </w:p>
    <w:p>
      <w:pPr>
        <w:spacing w:after="120" w:line="276"/>
      </w:pPr>
      <w:r>
        <w:rPr>
          <w:b/>
          <w:bCs/>
        </w:rPr>
        <w:t xml:space="preserve">Naming: {ISO3}_{ac_type}_auth_{registry or manufacturer}_{manufacturer_mpn}_{YYYYMMDD}T{HHMMSS}Z.png</w:t>
      </w:r>
    </w:p>
    <w:p>
      <w:pPr>
        <w:pStyle w:val="ListParagraph"/>
        <w:numPr>
          <w:ilvl w:val="0"/>
          <w:numId w:val="2"/>
        </w:numPr>
        <w:spacing w:after="80" w:line="276"/>
      </w:pPr>
      <w:r>
        <w:t xml:space="preserve">Compute SHA-256 into snapshot_auth_id and snapshot_auth_sha256.</w:t>
      </w:r>
    </w:p>
    <w:p>
      <w:pPr>
        <w:pStyle w:val="ListParagraph"/>
        <w:numPr>
          <w:ilvl w:val="0"/>
          <w:numId w:val="2"/>
        </w:numPr>
        <w:spacing w:after="80" w:line="276"/>
      </w:pPr>
      <w:r>
        <w:t xml:space="preserve">efficiency_source_url now points at the authoritative source rather than the retail page. Each record thereby carries a price URL and an efficiency URL from different origins, which is the traceability property that distinguishes this dataset.</w:t>
      </w:r>
    </w:p>
    <w:p>
      <w:pPr>
        <w:pStyle w:val="Heading2"/>
        <w:spacing w:after="130" w:before="260"/>
      </w:pPr>
      <w:r>
        <w:t xml:space="preserve">Step 13　Adjudication and deviation</w:t>
      </w:r>
    </w:p>
    <w:p>
      <w:pPr>
        <w:spacing w:after="120" w:line="276"/>
      </w:pPr>
      <w:r>
        <w:t xml:space="preserve">Decide each field independently. Capacity and input power may come from different tiers as long as each is labelled honestly.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80"/>
        <w:gridCol w:w="3960"/>
        <w:gridCol w:w="3960"/>
      </w:tblGrid>
      <w:tr>
        <w:trPr>
          <w:tblHeader/>
        </w:trPr>
        <w:tc>
          <w:tcPr>
            <w:tcW w:type="dxa" w:w="1080"/>
            <w:shd w:fill="E8EDF2" w:color="auto" w:val="clear"/>
            <w:tcMar>
              <w:top w:type="dxa" w:w="60"/>
              <w:left w:type="dxa" w:w="100"/>
              <w:bottom w:type="dxa" w:w="60"/>
              <w:right w:type="dxa" w:w="100"/>
            </w:tcMar>
          </w:tcPr>
          <w:p>
            <w:pPr>
              <w:spacing w:after="0" w:line="260"/>
            </w:pPr>
            <w:r>
              <w:rPr>
                <w:b/>
                <w:bCs/>
                <w:sz w:val="19"/>
                <w:szCs w:val="19"/>
              </w:rPr>
              <w:t xml:space="preserve">Priority</w:t>
            </w:r>
          </w:p>
        </w:tc>
        <w:tc>
          <w:tcPr>
            <w:tcW w:type="dxa" w:w="396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3960"/>
            <w:shd w:fill="E8EDF2" w:color="auto" w:val="clear"/>
            <w:tcMar>
              <w:top w:type="dxa" w:w="60"/>
              <w:left w:type="dxa" w:w="100"/>
              <w:bottom w:type="dxa" w:w="60"/>
              <w:right w:type="dxa" w:w="100"/>
            </w:tcMar>
          </w:tcPr>
          <w:p>
            <w:pPr>
              <w:spacing w:after="0" w:line="260"/>
            </w:pPr>
            <w:r>
              <w:rPr>
                <w:b/>
                <w:bCs/>
                <w:sz w:val="19"/>
                <w:szCs w:val="19"/>
              </w:rPr>
              <w:t xml:space="preserve">capacity_source / efficiency_source_tier</w:t>
            </w:r>
          </w:p>
        </w:tc>
      </w:tr>
      <w:tr>
        <w:tc>
          <w:tcPr>
            <w:tcW w:type="dxa" w:w="1080"/>
            <w:tcMar>
              <w:top w:type="dxa" w:w="60"/>
              <w:left w:type="dxa" w:w="100"/>
              <w:bottom w:type="dxa" w:w="60"/>
              <w:right w:type="dxa" w:w="100"/>
            </w:tcMar>
          </w:tcPr>
          <w:p>
            <w:pPr>
              <w:spacing w:after="0" w:line="260"/>
            </w:pPr>
            <w:r>
              <w:rPr>
                <w:sz w:val="19"/>
                <w:szCs w:val="19"/>
              </w:rPr>
              <w:t xml:space="preserve">1</w:t>
            </w:r>
          </w:p>
        </w:tc>
        <w:tc>
          <w:tcPr>
            <w:tcW w:type="dxa" w:w="3960"/>
            <w:tcMar>
              <w:top w:type="dxa" w:w="60"/>
              <w:left w:type="dxa" w:w="100"/>
              <w:bottom w:type="dxa" w:w="60"/>
              <w:right w:type="dxa" w:w="100"/>
            </w:tcMar>
          </w:tcPr>
          <w:p>
            <w:pPr>
              <w:spacing w:after="0" w:line="260"/>
            </w:pPr>
            <w:r>
              <w:rPr>
                <w:sz w:val="19"/>
                <w:szCs w:val="19"/>
              </w:rPr>
              <w:t xml:space="preserve">Registry</w:t>
            </w:r>
          </w:p>
        </w:tc>
        <w:tc>
          <w:tcPr>
            <w:tcW w:type="dxa" w:w="3960"/>
            <w:tcMar>
              <w:top w:type="dxa" w:w="60"/>
              <w:left w:type="dxa" w:w="100"/>
              <w:bottom w:type="dxa" w:w="60"/>
              <w:right w:type="dxa" w:w="100"/>
            </w:tcMar>
          </w:tcPr>
          <w:p>
            <w:pPr>
              <w:spacing w:after="0" w:line="260"/>
            </w:pPr>
            <w:r>
              <w:rPr>
                <w:sz w:val="19"/>
                <w:szCs w:val="19"/>
              </w:rPr>
              <w:t xml:space="preserve">registry / t1_registry</w:t>
            </w:r>
          </w:p>
        </w:tc>
      </w:tr>
      <w:tr>
        <w:tc>
          <w:tcPr>
            <w:tcW w:type="dxa" w:w="1080"/>
            <w:tcMar>
              <w:top w:type="dxa" w:w="60"/>
              <w:left w:type="dxa" w:w="100"/>
              <w:bottom w:type="dxa" w:w="60"/>
              <w:right w:type="dxa" w:w="100"/>
            </w:tcMar>
          </w:tcPr>
          <w:p>
            <w:pPr>
              <w:spacing w:after="0" w:line="260"/>
            </w:pPr>
            <w:r>
              <w:rPr>
                <w:sz w:val="19"/>
                <w:szCs w:val="19"/>
              </w:rPr>
              <w:t xml:space="preserve">2</w:t>
            </w:r>
          </w:p>
        </w:tc>
        <w:tc>
          <w:tcPr>
            <w:tcW w:type="dxa" w:w="3960"/>
            <w:tcMar>
              <w:top w:type="dxa" w:w="60"/>
              <w:left w:type="dxa" w:w="100"/>
              <w:bottom w:type="dxa" w:w="60"/>
              <w:right w:type="dxa" w:w="100"/>
            </w:tcMar>
          </w:tcPr>
          <w:p>
            <w:pPr>
              <w:spacing w:after="0" w:line="260"/>
            </w:pPr>
            <w:r>
              <w:rPr>
                <w:sz w:val="19"/>
                <w:szCs w:val="19"/>
              </w:rPr>
              <w:t xml:space="preserve">Manufacturer specification sheet</w:t>
            </w:r>
          </w:p>
        </w:tc>
        <w:tc>
          <w:tcPr>
            <w:tcW w:type="dxa" w:w="3960"/>
            <w:tcMar>
              <w:top w:type="dxa" w:w="60"/>
              <w:left w:type="dxa" w:w="100"/>
              <w:bottom w:type="dxa" w:w="60"/>
              <w:right w:type="dxa" w:w="100"/>
            </w:tcMar>
          </w:tcPr>
          <w:p>
            <w:pPr>
              <w:spacing w:after="0" w:line="260"/>
            </w:pPr>
            <w:r>
              <w:rPr>
                <w:sz w:val="19"/>
                <w:szCs w:val="19"/>
              </w:rPr>
              <w:t xml:space="preserve">manufacturer_spec / t1_manufacturer_spec</w:t>
            </w:r>
          </w:p>
        </w:tc>
      </w:tr>
      <w:tr>
        <w:tc>
          <w:tcPr>
            <w:tcW w:type="dxa" w:w="1080"/>
            <w:tcMar>
              <w:top w:type="dxa" w:w="60"/>
              <w:left w:type="dxa" w:w="100"/>
              <w:bottom w:type="dxa" w:w="60"/>
              <w:right w:type="dxa" w:w="100"/>
            </w:tcMar>
          </w:tcPr>
          <w:p>
            <w:pPr>
              <w:spacing w:after="0" w:line="260"/>
            </w:pPr>
            <w:r>
              <w:rPr>
                <w:sz w:val="19"/>
                <w:szCs w:val="19"/>
              </w:rPr>
              <w:t xml:space="preserve">3</w:t>
            </w:r>
          </w:p>
        </w:tc>
        <w:tc>
          <w:tcPr>
            <w:tcW w:type="dxa" w:w="3960"/>
            <w:tcMar>
              <w:top w:type="dxa" w:w="60"/>
              <w:left w:type="dxa" w:w="100"/>
              <w:bottom w:type="dxa" w:w="60"/>
              <w:right w:type="dxa" w:w="100"/>
            </w:tcMar>
          </w:tcPr>
          <w:p>
            <w:pPr>
              <w:spacing w:after="0" w:line="260"/>
            </w:pPr>
            <w:r>
              <w:rPr>
                <w:sz w:val="19"/>
                <w:szCs w:val="19"/>
              </w:rPr>
              <w:t xml:space="preserve">Official energy label image</w:t>
            </w:r>
          </w:p>
        </w:tc>
        <w:tc>
          <w:tcPr>
            <w:tcW w:type="dxa" w:w="3960"/>
            <w:tcMar>
              <w:top w:type="dxa" w:w="60"/>
              <w:left w:type="dxa" w:w="100"/>
              <w:bottom w:type="dxa" w:w="60"/>
              <w:right w:type="dxa" w:w="100"/>
            </w:tcMar>
          </w:tcPr>
          <w:p>
            <w:pPr>
              <w:spacing w:after="0" w:line="260"/>
            </w:pPr>
            <w:r>
              <w:rPr>
                <w:sz w:val="19"/>
                <w:szCs w:val="19"/>
              </w:rPr>
              <w:t xml:space="preserve">label_image / t1c_label_image</w:t>
            </w:r>
          </w:p>
        </w:tc>
      </w:tr>
      <w:tr>
        <w:tc>
          <w:tcPr>
            <w:tcW w:type="dxa" w:w="1080"/>
            <w:tcMar>
              <w:top w:type="dxa" w:w="60"/>
              <w:left w:type="dxa" w:w="100"/>
              <w:bottom w:type="dxa" w:w="60"/>
              <w:right w:type="dxa" w:w="100"/>
            </w:tcMar>
          </w:tcPr>
          <w:p>
            <w:pPr>
              <w:spacing w:after="0" w:line="260"/>
            </w:pPr>
            <w:r>
              <w:rPr>
                <w:sz w:val="19"/>
                <w:szCs w:val="19"/>
              </w:rPr>
              <w:t xml:space="preserve">4</w:t>
            </w:r>
          </w:p>
        </w:tc>
        <w:tc>
          <w:tcPr>
            <w:tcW w:type="dxa" w:w="3960"/>
            <w:tcMar>
              <w:top w:type="dxa" w:w="60"/>
              <w:left w:type="dxa" w:w="100"/>
              <w:bottom w:type="dxa" w:w="60"/>
              <w:right w:type="dxa" w:w="100"/>
            </w:tcMar>
          </w:tcPr>
          <w:p>
            <w:pPr>
              <w:spacing w:after="0" w:line="260"/>
            </w:pPr>
            <w:r>
              <w:rPr>
                <w:sz w:val="19"/>
                <w:szCs w:val="19"/>
              </w:rPr>
              <w:t xml:space="preserve">Retail listing</w:t>
            </w:r>
          </w:p>
        </w:tc>
        <w:tc>
          <w:tcPr>
            <w:tcW w:type="dxa" w:w="3960"/>
            <w:tcMar>
              <w:top w:type="dxa" w:w="60"/>
              <w:left w:type="dxa" w:w="100"/>
              <w:bottom w:type="dxa" w:w="60"/>
              <w:right w:type="dxa" w:w="100"/>
            </w:tcMar>
          </w:tcPr>
          <w:p>
            <w:pPr>
              <w:spacing w:after="0" w:line="260"/>
            </w:pPr>
            <w:r>
              <w:rPr>
                <w:sz w:val="19"/>
                <w:szCs w:val="19"/>
              </w:rPr>
              <w:t xml:space="preserve">retail_page / t2_retail_claim</w:t>
            </w:r>
          </w:p>
        </w:tc>
      </w:tr>
    </w:tbl>
    <w:p>
      <w:pPr>
        <w:pStyle w:val="ListParagraph"/>
        <w:numPr>
          <w:ilvl w:val="0"/>
          <w:numId w:val="2"/>
        </w:numPr>
        <w:spacing w:after="80" w:line="276"/>
      </w:pPr>
      <w:r>
        <w:t xml:space="preserve">Fall back to tier 4 only when the first three carry nothing for that model, and record the fallback rather than hiding it.</w:t>
      </w:r>
    </w:p>
    <w:p>
      <w:pPr>
        <w:pStyle w:val="ListParagraph"/>
        <w:numPr>
          <w:ilvl w:val="0"/>
          <w:numId w:val="2"/>
        </w:numPr>
        <w:spacing w:after="80" w:line="276"/>
      </w:pPr>
      <w:r>
        <w:t xml:space="preserve">Recompute rated_eer from the adjudicated capacity and input power, to two decimals.</w:t>
      </w:r>
    </w:p>
    <w:p>
      <w:pPr>
        <w:pStyle w:val="ListParagraph"/>
        <w:numPr>
          <w:ilvl w:val="0"/>
          <w:numId w:val="2"/>
        </w:numPr>
        <w:spacing w:after="80" w:line="276"/>
      </w:pPr>
      <w:r>
        <w:t xml:space="preserve">Convert the authoritative capacity to watts before comparing, so that a unit mismatch is never read as a real deviation.</w:t>
      </w:r>
    </w:p>
    <w:p>
      <w:pPr>
        <w:pStyle w:val="ListParagraph"/>
        <w:numPr>
          <w:ilvl w:val="0"/>
          <w:numId w:val="2"/>
        </w:numPr>
        <w:spacing w:after="80" w:line="276"/>
      </w:pPr>
      <w:r>
        <w:t xml:space="preserve">Where retail and authoritative values both exist, compute capacity_deviation_pct and eer_deviation_pct against the authoritative value as denominator, to two decimals.</w:t>
      </w:r>
    </w:p>
    <w:p>
      <w:pPr>
        <w:pStyle w:val="ListParagraph"/>
        <w:numPr>
          <w:ilvl w:val="0"/>
          <w:numId w:val="2"/>
        </w:numPr>
        <w:spacing w:after="80" w:line="276"/>
      </w:pPr>
      <w:r>
        <w:t xml:space="preserve">Deviations above ten percent in absolute value set qc_flag to large_deviation. Keep both numbers unchanged and refer them for human review.</w:t>
      </w:r>
    </w:p>
    <w:p>
      <w:pPr>
        <w:pStyle w:val="ListParagraph"/>
        <w:numPr>
          <w:ilvl w:val="0"/>
          <w:numId w:val="2"/>
        </w:numPr>
        <w:spacing w:after="80" w:line="276"/>
      </w:pPr>
      <w:r>
        <w:t xml:space="preserve">Where the retail metric and the authoritative metric differ, compute no deviation and set qc_flag to metric_mismatch, recording both metric names.</w:t>
      </w:r>
    </w:p>
    <w:p>
      <w:pPr>
        <w:pStyle w:val="ListParagraph"/>
        <w:numPr>
          <w:ilvl w:val="0"/>
          <w:numId w:val="2"/>
        </w:numPr>
        <w:spacing w:after="80" w:line="276"/>
      </w:pPr>
      <w:r>
        <w:t xml:space="preserve">The deviation distribution measures how wrong retail listings are. It is evidence for the technical validation section and is not to be trimmed because it looks poor.</w:t>
      </w:r>
    </w:p>
    <w:p>
      <w:pPr>
        <w:pStyle w:val="Heading2"/>
        <w:spacing w:after="130" w:before="260"/>
      </w:pPr>
      <w:r>
        <w:t xml:space="preserve">Step 14　Outputs</w:t>
      </w:r>
    </w:p>
    <w:p>
      <w:pPr>
        <w:spacing w:after="120" w:line="276"/>
      </w:pPr>
      <w:r>
        <w:t xml:space="preserve">Produce the files in Section 6 and close with hit rates by tier, hit rates by brand tier, the fallback share, and the count of deviations above threshold.</w:t>
      </w:r>
    </w:p>
    <w:p>
      <w:pPr>
        <w:pStyle w:val="ListParagraph"/>
        <w:numPr>
          <w:ilvl w:val="0"/>
          <w:numId w:val="2"/>
        </w:numPr>
        <w:spacing w:after="80" w:line="276"/>
      </w:pPr>
      <w:r>
        <w:t xml:space="preserve">Split hit rates across international, regional and local brands. A single headline rate hides non-random missingness, and that missingness is one of the central findings of this dataset.</w:t>
      </w:r>
    </w:p>
    <w:p>
      <w:pPr>
        <w:pStyle w:val="ListParagraph"/>
        <w:numPr>
          <w:ilvl w:val="0"/>
          <w:numId w:val="2"/>
        </w:numPr>
        <w:spacing w:after="80" w:line="276"/>
      </w:pPr>
      <w:r>
        <w:t xml:space="preserve">Report the fallback share to tier 4 explicitly. In a market with a thin or absent registry it is the single most informative number in the run.</w:t>
      </w:r>
    </w:p>
    <w:p>
      <w:pPr>
        <w:pStyle w:val="Heading1"/>
        <w:spacing w:after="160" w:before="320"/>
      </w:pPr>
      <w:r>
        <w:t xml:space="preserve">5. Fields</w:t>
      </w:r>
    </w:p>
    <w:p>
      <w:pPr>
        <w:pStyle w:val="Heading2"/>
        <w:spacing w:after="130" w:before="260"/>
      </w:pPr>
      <w:r>
        <w:t xml:space="preserve">5.1　Tracing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960"/>
        <w:gridCol w:w="1440"/>
        <w:gridCol w:w="1260"/>
      </w:tblGrid>
      <w:tr>
        <w:trPr>
          <w:tblHeader/>
        </w:trPr>
        <w:tc>
          <w:tcPr>
            <w:tcW w:type="dxa" w:w="234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3960"/>
            <w:shd w:fill="E8EDF2" w:color="auto" w:val="clear"/>
            <w:tcMar>
              <w:top w:type="dxa" w:w="60"/>
              <w:left w:type="dxa" w:w="100"/>
              <w:bottom w:type="dxa" w:w="60"/>
              <w:right w:type="dxa" w:w="100"/>
            </w:tcMar>
          </w:tcPr>
          <w:p>
            <w:pPr>
              <w:spacing w:after="0" w:line="260"/>
            </w:pPr>
            <w:r>
              <w:rPr>
                <w:b/>
                <w:bCs/>
                <w:sz w:val="19"/>
                <w:szCs w:val="19"/>
              </w:rPr>
              <w:t xml:space="preserve">Values and format</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1260"/>
            <w:shd w:fill="E8EDF2" w:color="auto" w:val="clear"/>
            <w:tcMar>
              <w:top w:type="dxa" w:w="60"/>
              <w:left w:type="dxa" w:w="100"/>
              <w:bottom w:type="dxa" w:w="60"/>
              <w:right w:type="dxa" w:w="100"/>
            </w:tcMar>
          </w:tcPr>
          <w:p>
            <w:pPr>
              <w:spacing w:after="0" w:line="260"/>
            </w:pPr>
            <w:r>
              <w:rPr>
                <w:b/>
                <w:bCs/>
                <w:sz w:val="19"/>
                <w:szCs w:val="19"/>
              </w:rPr>
              <w:t xml:space="preserve">Required</w:t>
            </w:r>
          </w:p>
        </w:tc>
      </w:tr>
      <w:tr>
        <w:tc>
          <w:tcPr>
            <w:tcW w:type="dxa" w:w="2340"/>
            <w:tcMar>
              <w:top w:type="dxa" w:w="60"/>
              <w:left w:type="dxa" w:w="100"/>
              <w:bottom w:type="dxa" w:w="60"/>
              <w:right w:type="dxa" w:w="100"/>
            </w:tcMar>
          </w:tcPr>
          <w:p>
            <w:pPr>
              <w:spacing w:after="0" w:line="260"/>
            </w:pPr>
            <w:r>
              <w:rPr>
                <w:sz w:val="19"/>
                <w:szCs w:val="19"/>
              </w:rPr>
              <w:t xml:space="preserve">efficiency_source_tier</w:t>
            </w:r>
          </w:p>
        </w:tc>
        <w:tc>
          <w:tcPr>
            <w:tcW w:type="dxa" w:w="3960"/>
            <w:tcMar>
              <w:top w:type="dxa" w:w="60"/>
              <w:left w:type="dxa" w:w="100"/>
              <w:bottom w:type="dxa" w:w="60"/>
              <w:right w:type="dxa" w:w="100"/>
            </w:tcMar>
          </w:tcPr>
          <w:p>
            <w:pPr>
              <w:spacing w:after="0" w:line="260"/>
            </w:pPr>
            <w:r>
              <w:rPr>
                <w:sz w:val="19"/>
                <w:szCs w:val="19"/>
              </w:rPr>
              <w:t xml:space="preserve">t1_registry / t1_manufacturer_spec / t1c_label_image / t2_retail_claim / none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mpn_recovered_from</w:t>
            </w:r>
          </w:p>
        </w:tc>
        <w:tc>
          <w:tcPr>
            <w:tcW w:type="dxa" w:w="3960"/>
            <w:tcMar>
              <w:top w:type="dxa" w:w="60"/>
              <w:left w:type="dxa" w:w="100"/>
              <w:bottom w:type="dxa" w:w="60"/>
              <w:right w:type="dxa" w:w="100"/>
            </w:tcMar>
          </w:tcPr>
          <w:p>
            <w:pPr>
              <w:spacing w:after="0" w:line="260"/>
            </w:pPr>
            <w:r>
              <w:rPr>
                <w:sz w:val="19"/>
                <w:szCs w:val="19"/>
              </w:rPr>
              <w:t xml:space="preserve">title / spec_table / label_image / none; required only where mpn_missing is true</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tracing_priority</w:t>
            </w:r>
          </w:p>
        </w:tc>
        <w:tc>
          <w:tcPr>
            <w:tcW w:type="dxa" w:w="3960"/>
            <w:tcMar>
              <w:top w:type="dxa" w:w="60"/>
              <w:left w:type="dxa" w:w="100"/>
              <w:bottom w:type="dxa" w:w="60"/>
              <w:right w:type="dxa" w:w="100"/>
            </w:tcMar>
          </w:tcPr>
          <w:p>
            <w:pPr>
              <w:spacing w:after="0" w:line="260"/>
            </w:pPr>
            <w:r>
              <w:rPr>
                <w:sz w:val="19"/>
                <w:szCs w:val="19"/>
              </w:rPr>
              <w:t xml:space="preserve">1 or 2, per the Checkpoint 1 worklist</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registry_name</w:t>
            </w:r>
          </w:p>
        </w:tc>
        <w:tc>
          <w:tcPr>
            <w:tcW w:type="dxa" w:w="3960"/>
            <w:tcMar>
              <w:top w:type="dxa" w:w="60"/>
              <w:left w:type="dxa" w:w="100"/>
              <w:bottom w:type="dxa" w:w="60"/>
              <w:right w:type="dxa" w:w="100"/>
            </w:tcMar>
          </w:tcPr>
          <w:p>
            <w:pPr>
              <w:spacing w:after="0" w:line="260"/>
            </w:pPr>
            <w:r>
              <w:rPr>
                <w:sz w:val="19"/>
                <w:szCs w:val="19"/>
              </w:rPr>
              <w:t xml:space="preserve">name of the register that produced the hit</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registry_record_id</w:t>
            </w:r>
          </w:p>
        </w:tc>
        <w:tc>
          <w:tcPr>
            <w:tcW w:type="dxa" w:w="3960"/>
            <w:tcMar>
              <w:top w:type="dxa" w:w="60"/>
              <w:left w:type="dxa" w:w="100"/>
              <w:bottom w:type="dxa" w:w="60"/>
              <w:right w:type="dxa" w:w="100"/>
            </w:tcMar>
          </w:tcPr>
          <w:p>
            <w:pPr>
              <w:spacing w:after="0" w:line="260"/>
            </w:pPr>
            <w:r>
              <w:rPr>
                <w:sz w:val="19"/>
                <w:szCs w:val="19"/>
              </w:rPr>
              <w:t xml:space="preserve">record identifier in the registry</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registry_match_type</w:t>
            </w:r>
          </w:p>
        </w:tc>
        <w:tc>
          <w:tcPr>
            <w:tcW w:type="dxa" w:w="3960"/>
            <w:tcMar>
              <w:top w:type="dxa" w:w="60"/>
              <w:left w:type="dxa" w:w="100"/>
              <w:bottom w:type="dxa" w:w="60"/>
              <w:right w:type="dxa" w:w="100"/>
            </w:tcMar>
          </w:tcPr>
          <w:p>
            <w:pPr>
              <w:spacing w:after="0" w:line="260"/>
            </w:pPr>
            <w:r>
              <w:rPr>
                <w:sz w:val="19"/>
                <w:szCs w:val="19"/>
              </w:rPr>
              <w:t xml:space="preserve">exact_mpn / wildcard_mpn / brand_model / none</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match_candidate_count</w:t>
            </w:r>
          </w:p>
        </w:tc>
        <w:tc>
          <w:tcPr>
            <w:tcW w:type="dxa" w:w="3960"/>
            <w:tcMar>
              <w:top w:type="dxa" w:w="60"/>
              <w:left w:type="dxa" w:w="100"/>
              <w:bottom w:type="dxa" w:w="60"/>
              <w:right w:type="dxa" w:w="100"/>
            </w:tcMar>
          </w:tcPr>
          <w:p>
            <w:pPr>
              <w:spacing w:after="0" w:line="260"/>
            </w:pPr>
            <w:r>
              <w:rPr>
                <w:sz w:val="19"/>
                <w:szCs w:val="19"/>
              </w:rPr>
              <w:t xml:space="preserve">integer</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efficiency_native</w:t>
            </w:r>
          </w:p>
        </w:tc>
        <w:tc>
          <w:tcPr>
            <w:tcW w:type="dxa" w:w="3960"/>
            <w:tcMar>
              <w:top w:type="dxa" w:w="60"/>
              <w:left w:type="dxa" w:w="100"/>
              <w:bottom w:type="dxa" w:w="60"/>
              <w:right w:type="dxa" w:w="100"/>
            </w:tcMar>
          </w:tcPr>
          <w:p>
            <w:pPr>
              <w:spacing w:after="0" w:line="260"/>
            </w:pPr>
            <w:r>
              <w:rPr>
                <w:sz w:val="19"/>
                <w:szCs w:val="19"/>
              </w:rPr>
              <w:t xml:space="preserve">native efficiency value from the authoritative source</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efficiency_metric</w:t>
            </w:r>
          </w:p>
        </w:tc>
        <w:tc>
          <w:tcPr>
            <w:tcW w:type="dxa" w:w="3960"/>
            <w:tcMar>
              <w:top w:type="dxa" w:w="60"/>
              <w:left w:type="dxa" w:w="100"/>
              <w:bottom w:type="dxa" w:w="60"/>
              <w:right w:type="dxa" w:w="100"/>
            </w:tcMar>
          </w:tcPr>
          <w:p>
            <w:pPr>
              <w:spacing w:after="0" w:line="260"/>
            </w:pPr>
            <w:r>
              <w:rPr>
                <w:sz w:val="19"/>
                <w:szCs w:val="19"/>
              </w:rPr>
              <w:t xml:space="preserve">native metric name, verbatim</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label_grade_auth</w:t>
            </w:r>
          </w:p>
        </w:tc>
        <w:tc>
          <w:tcPr>
            <w:tcW w:type="dxa" w:w="3960"/>
            <w:tcMar>
              <w:top w:type="dxa" w:w="60"/>
              <w:left w:type="dxa" w:w="100"/>
              <w:bottom w:type="dxa" w:w="60"/>
              <w:right w:type="dxa" w:w="100"/>
            </w:tcMar>
          </w:tcPr>
          <w:p>
            <w:pPr>
              <w:spacing w:after="0" w:line="260"/>
            </w:pPr>
            <w:r>
              <w:rPr>
                <w:sz w:val="19"/>
                <w:szCs w:val="19"/>
              </w:rPr>
              <w:t xml:space="preserve">grade recorded by the authoritative source, verbatim</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label_version_auth</w:t>
            </w:r>
          </w:p>
        </w:tc>
        <w:tc>
          <w:tcPr>
            <w:tcW w:type="dxa" w:w="3960"/>
            <w:tcMar>
              <w:top w:type="dxa" w:w="60"/>
              <w:left w:type="dxa" w:w="100"/>
              <w:bottom w:type="dxa" w:w="60"/>
              <w:right w:type="dxa" w:w="100"/>
            </w:tcMar>
          </w:tcPr>
          <w:p>
            <w:pPr>
              <w:spacing w:after="0" w:line="260"/>
            </w:pPr>
            <w:r>
              <w:rPr>
                <w:sz w:val="19"/>
                <w:szCs w:val="19"/>
              </w:rPr>
              <w:t xml:space="preserve">label edition, year or standard part; none where the source does not state it</w:t>
            </w:r>
          </w:p>
        </w:tc>
        <w:tc>
          <w:tcPr>
            <w:tcW w:type="dxa" w:w="1440"/>
            <w:tcMar>
              <w:top w:type="dxa" w:w="60"/>
              <w:left w:type="dxa" w:w="100"/>
              <w:bottom w:type="dxa" w:w="60"/>
              <w:right w:type="dxa" w:w="100"/>
            </w:tcMar>
          </w:tcPr>
          <w:p>
            <w:pPr>
              <w:spacing w:after="0" w:line="260"/>
            </w:pPr>
            <w:r>
              <w:rPr>
                <w:sz w:val="19"/>
                <w:szCs w:val="19"/>
              </w:rPr>
              <w:t xml:space="preserve">Step 10</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capacity_raw_value_auth</w:t>
            </w:r>
          </w:p>
        </w:tc>
        <w:tc>
          <w:tcPr>
            <w:tcW w:type="dxa" w:w="3960"/>
            <w:tcMar>
              <w:top w:type="dxa" w:w="60"/>
              <w:left w:type="dxa" w:w="100"/>
              <w:bottom w:type="dxa" w:w="60"/>
              <w:right w:type="dxa" w:w="100"/>
            </w:tcMar>
          </w:tcPr>
          <w:p>
            <w:pPr>
              <w:spacing w:after="0" w:line="260"/>
            </w:pPr>
            <w:r>
              <w:rPr>
                <w:sz w:val="19"/>
                <w:szCs w:val="19"/>
              </w:rPr>
              <w:t xml:space="preserve">capacity figure as printed by the source</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capacity_raw_unit_auth</w:t>
            </w:r>
          </w:p>
        </w:tc>
        <w:tc>
          <w:tcPr>
            <w:tcW w:type="dxa" w:w="3960"/>
            <w:tcMar>
              <w:top w:type="dxa" w:w="60"/>
              <w:left w:type="dxa" w:w="100"/>
              <w:bottom w:type="dxa" w:w="60"/>
              <w:right w:type="dxa" w:w="100"/>
            </w:tcMar>
          </w:tcPr>
          <w:p>
            <w:pPr>
              <w:spacing w:after="0" w:line="260"/>
            </w:pPr>
            <w:r>
              <w:rPr>
                <w:sz w:val="19"/>
                <w:szCs w:val="19"/>
              </w:rPr>
              <w:t xml:space="preserve">unit as printed by the source</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rated_cooling_capacity_w_auth</w:t>
            </w:r>
          </w:p>
        </w:tc>
        <w:tc>
          <w:tcPr>
            <w:tcW w:type="dxa" w:w="3960"/>
            <w:tcMar>
              <w:top w:type="dxa" w:w="60"/>
              <w:left w:type="dxa" w:w="100"/>
              <w:bottom w:type="dxa" w:w="60"/>
              <w:right w:type="dxa" w:w="100"/>
            </w:tcMar>
          </w:tcPr>
          <w:p>
            <w:pPr>
              <w:spacing w:after="0" w:line="260"/>
            </w:pPr>
            <w:r>
              <w:rPr>
                <w:sz w:val="19"/>
                <w:szCs w:val="19"/>
              </w:rPr>
              <w:t xml:space="preserve">numeric, watts</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rated_power_input_w_auth</w:t>
            </w:r>
          </w:p>
        </w:tc>
        <w:tc>
          <w:tcPr>
            <w:tcW w:type="dxa" w:w="3960"/>
            <w:tcMar>
              <w:top w:type="dxa" w:w="60"/>
              <w:left w:type="dxa" w:w="100"/>
              <w:bottom w:type="dxa" w:w="60"/>
              <w:right w:type="dxa" w:w="100"/>
            </w:tcMar>
          </w:tcPr>
          <w:p>
            <w:pPr>
              <w:spacing w:after="0" w:line="260"/>
            </w:pPr>
            <w:r>
              <w:rPr>
                <w:sz w:val="19"/>
                <w:szCs w:val="19"/>
              </w:rPr>
              <w:t xml:space="preserve">numeric, watts</w:t>
            </w:r>
          </w:p>
        </w:tc>
        <w:tc>
          <w:tcPr>
            <w:tcW w:type="dxa" w:w="1440"/>
            <w:tcMar>
              <w:top w:type="dxa" w:w="60"/>
              <w:left w:type="dxa" w:w="100"/>
              <w:bottom w:type="dxa" w:w="60"/>
              <w:right w:type="dxa" w:w="100"/>
            </w:tcMar>
          </w:tcPr>
          <w:p>
            <w:pPr>
              <w:spacing w:after="0" w:line="260"/>
            </w:pPr>
            <w:r>
              <w:rPr>
                <w:sz w:val="19"/>
                <w:szCs w:val="19"/>
              </w:rPr>
              <w:t xml:space="preserve">Steps 10 to 11</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efficiency_source_url</w:t>
            </w:r>
          </w:p>
        </w:tc>
        <w:tc>
          <w:tcPr>
            <w:tcW w:type="dxa" w:w="3960"/>
            <w:tcMar>
              <w:top w:type="dxa" w:w="60"/>
              <w:left w:type="dxa" w:w="100"/>
              <w:bottom w:type="dxa" w:w="60"/>
              <w:right w:type="dxa" w:w="100"/>
            </w:tcMar>
          </w:tcPr>
          <w:p>
            <w:pPr>
              <w:spacing w:after="0" w:line="260"/>
            </w:pPr>
            <w:r>
              <w:rPr>
                <w:sz w:val="19"/>
                <w:szCs w:val="19"/>
              </w:rPr>
              <w:t xml:space="preserve">URL of the authoritative source</w:t>
            </w:r>
          </w:p>
        </w:tc>
        <w:tc>
          <w:tcPr>
            <w:tcW w:type="dxa" w:w="1440"/>
            <w:tcMar>
              <w:top w:type="dxa" w:w="60"/>
              <w:left w:type="dxa" w:w="100"/>
              <w:bottom w:type="dxa" w:w="60"/>
              <w:right w:type="dxa" w:w="100"/>
            </w:tcMar>
          </w:tcPr>
          <w:p>
            <w:pPr>
              <w:spacing w:after="0" w:line="260"/>
            </w:pPr>
            <w:r>
              <w:rPr>
                <w:sz w:val="19"/>
                <w:szCs w:val="19"/>
              </w:rPr>
              <w:t xml:space="preserve">Step 12</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snapshot_auth_id</w:t>
            </w:r>
          </w:p>
        </w:tc>
        <w:tc>
          <w:tcPr>
            <w:tcW w:type="dxa" w:w="3960"/>
            <w:tcMar>
              <w:top w:type="dxa" w:w="60"/>
              <w:left w:type="dxa" w:w="100"/>
              <w:bottom w:type="dxa" w:w="60"/>
              <w:right w:type="dxa" w:w="100"/>
            </w:tcMar>
          </w:tcPr>
          <w:p>
            <w:pPr>
              <w:spacing w:after="0" w:line="260"/>
            </w:pPr>
            <w:r>
              <w:rPr>
                <w:sz w:val="19"/>
                <w:szCs w:val="19"/>
              </w:rPr>
              <w:t xml:space="preserve">snapshot file name</w:t>
            </w:r>
          </w:p>
        </w:tc>
        <w:tc>
          <w:tcPr>
            <w:tcW w:type="dxa" w:w="1440"/>
            <w:tcMar>
              <w:top w:type="dxa" w:w="60"/>
              <w:left w:type="dxa" w:w="100"/>
              <w:bottom w:type="dxa" w:w="60"/>
              <w:right w:type="dxa" w:w="100"/>
            </w:tcMar>
          </w:tcPr>
          <w:p>
            <w:pPr>
              <w:spacing w:after="0" w:line="260"/>
            </w:pPr>
            <w:r>
              <w:rPr>
                <w:sz w:val="19"/>
                <w:szCs w:val="19"/>
              </w:rPr>
              <w:t xml:space="preserve">Step 12</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snapshot_auth_sha256</w:t>
            </w:r>
          </w:p>
        </w:tc>
        <w:tc>
          <w:tcPr>
            <w:tcW w:type="dxa" w:w="3960"/>
            <w:tcMar>
              <w:top w:type="dxa" w:w="60"/>
              <w:left w:type="dxa" w:w="100"/>
              <w:bottom w:type="dxa" w:w="60"/>
              <w:right w:type="dxa" w:w="100"/>
            </w:tcMar>
          </w:tcPr>
          <w:p>
            <w:pPr>
              <w:spacing w:after="0" w:line="260"/>
            </w:pPr>
            <w:r>
              <w:rPr>
                <w:sz w:val="19"/>
                <w:szCs w:val="19"/>
              </w:rPr>
              <w:t xml:space="preserve">64 hex characters</w:t>
            </w:r>
          </w:p>
        </w:tc>
        <w:tc>
          <w:tcPr>
            <w:tcW w:type="dxa" w:w="1440"/>
            <w:tcMar>
              <w:top w:type="dxa" w:w="60"/>
              <w:left w:type="dxa" w:w="100"/>
              <w:bottom w:type="dxa" w:w="60"/>
              <w:right w:type="dxa" w:w="100"/>
            </w:tcMar>
          </w:tcPr>
          <w:p>
            <w:pPr>
              <w:spacing w:after="0" w:line="260"/>
            </w:pPr>
            <w:r>
              <w:rPr>
                <w:sz w:val="19"/>
                <w:szCs w:val="19"/>
              </w:rPr>
              <w:t xml:space="preserve">Step 12</w:t>
            </w:r>
          </w:p>
        </w:tc>
        <w:tc>
          <w:tcPr>
            <w:tcW w:type="dxa" w:w="1260"/>
            <w:tcMar>
              <w:top w:type="dxa" w:w="60"/>
              <w:left w:type="dxa" w:w="100"/>
              <w:bottom w:type="dxa" w:w="60"/>
              <w:right w:type="dxa" w:w="100"/>
            </w:tcMar>
          </w:tcPr>
          <w:p>
            <w:pPr>
              <w:spacing w:after="0" w:line="260"/>
            </w:pPr>
            <w:r>
              <w:rPr>
                <w:sz w:val="19"/>
                <w:szCs w:val="19"/>
              </w:rPr>
              <w:t xml:space="preserve">conditional</w:t>
            </w:r>
          </w:p>
        </w:tc>
      </w:tr>
    </w:tbl>
    <w:p>
      <w:pPr>
        <w:pStyle w:val="Heading2"/>
        <w:spacing w:after="130" w:before="260"/>
      </w:pPr>
      <w:r>
        <w:t xml:space="preserve">5.2　Final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960"/>
        <w:gridCol w:w="1440"/>
        <w:gridCol w:w="1260"/>
      </w:tblGrid>
      <w:tr>
        <w:trPr>
          <w:tblHeader/>
        </w:trPr>
        <w:tc>
          <w:tcPr>
            <w:tcW w:type="dxa" w:w="2340"/>
            <w:shd w:fill="E8EDF2" w:color="auto" w:val="clear"/>
            <w:tcMar>
              <w:top w:type="dxa" w:w="60"/>
              <w:left w:type="dxa" w:w="100"/>
              <w:bottom w:type="dxa" w:w="60"/>
              <w:right w:type="dxa" w:w="100"/>
            </w:tcMar>
          </w:tcPr>
          <w:p>
            <w:pPr>
              <w:spacing w:after="0" w:line="260"/>
            </w:pPr>
            <w:r>
              <w:rPr>
                <w:b/>
                <w:bCs/>
                <w:sz w:val="19"/>
                <w:szCs w:val="19"/>
              </w:rPr>
              <w:t xml:space="preserve">Field</w:t>
            </w:r>
          </w:p>
        </w:tc>
        <w:tc>
          <w:tcPr>
            <w:tcW w:type="dxa" w:w="3960"/>
            <w:shd w:fill="E8EDF2" w:color="auto" w:val="clear"/>
            <w:tcMar>
              <w:top w:type="dxa" w:w="60"/>
              <w:left w:type="dxa" w:w="100"/>
              <w:bottom w:type="dxa" w:w="60"/>
              <w:right w:type="dxa" w:w="100"/>
            </w:tcMar>
          </w:tcPr>
          <w:p>
            <w:pPr>
              <w:spacing w:after="0" w:line="260"/>
            </w:pPr>
            <w:r>
              <w:rPr>
                <w:b/>
                <w:bCs/>
                <w:sz w:val="19"/>
                <w:szCs w:val="19"/>
              </w:rPr>
              <w:t xml:space="preserve">Values and format</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Source</w:t>
            </w:r>
          </w:p>
        </w:tc>
        <w:tc>
          <w:tcPr>
            <w:tcW w:type="dxa" w:w="1260"/>
            <w:shd w:fill="E8EDF2" w:color="auto" w:val="clear"/>
            <w:tcMar>
              <w:top w:type="dxa" w:w="60"/>
              <w:left w:type="dxa" w:w="100"/>
              <w:bottom w:type="dxa" w:w="60"/>
              <w:right w:type="dxa" w:w="100"/>
            </w:tcMar>
          </w:tcPr>
          <w:p>
            <w:pPr>
              <w:spacing w:after="0" w:line="260"/>
            </w:pPr>
            <w:r>
              <w:rPr>
                <w:b/>
                <w:bCs/>
                <w:sz w:val="19"/>
                <w:szCs w:val="19"/>
              </w:rPr>
              <w:t xml:space="preserve">Required</w:t>
            </w:r>
          </w:p>
        </w:tc>
      </w:tr>
      <w:tr>
        <w:tc>
          <w:tcPr>
            <w:tcW w:type="dxa" w:w="2340"/>
            <w:tcMar>
              <w:top w:type="dxa" w:w="60"/>
              <w:left w:type="dxa" w:w="100"/>
              <w:bottom w:type="dxa" w:w="60"/>
              <w:right w:type="dxa" w:w="100"/>
            </w:tcMar>
          </w:tcPr>
          <w:p>
            <w:pPr>
              <w:spacing w:after="0" w:line="260"/>
            </w:pPr>
            <w:r>
              <w:rPr>
                <w:sz w:val="19"/>
                <w:szCs w:val="19"/>
              </w:rPr>
              <w:t xml:space="preserve">rated_cooling_capacity_w</w:t>
            </w:r>
          </w:p>
        </w:tc>
        <w:tc>
          <w:tcPr>
            <w:tcW w:type="dxa" w:w="3960"/>
            <w:tcMar>
              <w:top w:type="dxa" w:w="60"/>
              <w:left w:type="dxa" w:w="100"/>
              <w:bottom w:type="dxa" w:w="60"/>
              <w:right w:type="dxa" w:w="100"/>
            </w:tcMar>
          </w:tcPr>
          <w:p>
            <w:pPr>
              <w:spacing w:after="0" w:line="260"/>
            </w:pPr>
            <w:r>
              <w:rPr>
                <w:sz w:val="19"/>
                <w:szCs w:val="19"/>
              </w:rPr>
              <w:t xml:space="preserve">adjudicated value per Step 13</w:t>
            </w:r>
          </w:p>
        </w:tc>
        <w:tc>
          <w:tcPr>
            <w:tcW w:type="dxa" w:w="1440"/>
            <w:tcMar>
              <w:top w:type="dxa" w:w="60"/>
              <w:left w:type="dxa" w:w="100"/>
              <w:bottom w:type="dxa" w:w="60"/>
              <w:right w:type="dxa" w:w="100"/>
            </w:tcMar>
          </w:tcPr>
          <w:p>
            <w:pPr>
              <w:spacing w:after="0" w:line="260"/>
            </w:pPr>
            <w:r>
              <w:rPr>
                <w:sz w:val="19"/>
                <w:szCs w:val="19"/>
              </w:rPr>
              <w:t xml:space="preserve">adjudication</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rated_power_input_w</w:t>
            </w:r>
          </w:p>
        </w:tc>
        <w:tc>
          <w:tcPr>
            <w:tcW w:type="dxa" w:w="3960"/>
            <w:tcMar>
              <w:top w:type="dxa" w:w="60"/>
              <w:left w:type="dxa" w:w="100"/>
              <w:bottom w:type="dxa" w:w="60"/>
              <w:right w:type="dxa" w:w="100"/>
            </w:tcMar>
          </w:tcPr>
          <w:p>
            <w:pPr>
              <w:spacing w:after="0" w:line="260"/>
            </w:pPr>
            <w:r>
              <w:rPr>
                <w:sz w:val="19"/>
                <w:szCs w:val="19"/>
              </w:rPr>
              <w:t xml:space="preserve">adjudicated value per Step 13</w:t>
            </w:r>
          </w:p>
        </w:tc>
        <w:tc>
          <w:tcPr>
            <w:tcW w:type="dxa" w:w="1440"/>
            <w:tcMar>
              <w:top w:type="dxa" w:w="60"/>
              <w:left w:type="dxa" w:w="100"/>
              <w:bottom w:type="dxa" w:w="60"/>
              <w:right w:type="dxa" w:w="100"/>
            </w:tcMar>
          </w:tcPr>
          <w:p>
            <w:pPr>
              <w:spacing w:after="0" w:line="260"/>
            </w:pPr>
            <w:r>
              <w:rPr>
                <w:sz w:val="19"/>
                <w:szCs w:val="19"/>
              </w:rPr>
              <w:t xml:space="preserve">adjudication</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capacity_source</w:t>
            </w:r>
          </w:p>
        </w:tc>
        <w:tc>
          <w:tcPr>
            <w:tcW w:type="dxa" w:w="3960"/>
            <w:tcMar>
              <w:top w:type="dxa" w:w="60"/>
              <w:left w:type="dxa" w:w="100"/>
              <w:bottom w:type="dxa" w:w="60"/>
              <w:right w:type="dxa" w:w="100"/>
            </w:tcMar>
          </w:tcPr>
          <w:p>
            <w:pPr>
              <w:spacing w:after="0" w:line="260"/>
            </w:pPr>
            <w:r>
              <w:rPr>
                <w:sz w:val="19"/>
                <w:szCs w:val="19"/>
              </w:rPr>
              <w:t xml:space="preserve">registry / manufacturer_spec / label_image / retail_page</w:t>
            </w:r>
          </w:p>
        </w:tc>
        <w:tc>
          <w:tcPr>
            <w:tcW w:type="dxa" w:w="1440"/>
            <w:tcMar>
              <w:top w:type="dxa" w:w="60"/>
              <w:left w:type="dxa" w:w="100"/>
              <w:bottom w:type="dxa" w:w="60"/>
              <w:right w:type="dxa" w:w="100"/>
            </w:tcMar>
          </w:tcPr>
          <w:p>
            <w:pPr>
              <w:spacing w:after="0" w:line="260"/>
            </w:pPr>
            <w:r>
              <w:rPr>
                <w:sz w:val="19"/>
                <w:szCs w:val="19"/>
              </w:rPr>
              <w:t xml:space="preserve">adjudication</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rated_eer</w:t>
            </w:r>
          </w:p>
        </w:tc>
        <w:tc>
          <w:tcPr>
            <w:tcW w:type="dxa" w:w="3960"/>
            <w:tcMar>
              <w:top w:type="dxa" w:w="60"/>
              <w:left w:type="dxa" w:w="100"/>
              <w:bottom w:type="dxa" w:w="60"/>
              <w:right w:type="dxa" w:w="100"/>
            </w:tcMar>
          </w:tcPr>
          <w:p>
            <w:pPr>
              <w:spacing w:after="0" w:line="260"/>
            </w:pPr>
            <w:r>
              <w:rPr>
                <w:sz w:val="19"/>
                <w:szCs w:val="19"/>
              </w:rPr>
              <w:t xml:space="preserve">adjudicated capacity divided by adjudicated input power, two decimals</w:t>
            </w:r>
          </w:p>
        </w:tc>
        <w:tc>
          <w:tcPr>
            <w:tcW w:type="dxa" w:w="1440"/>
            <w:tcMar>
              <w:top w:type="dxa" w:w="60"/>
              <w:left w:type="dxa" w:w="100"/>
              <w:bottom w:type="dxa" w:w="60"/>
              <w:right w:type="dxa" w:w="100"/>
            </w:tcMar>
          </w:tcPr>
          <w:p>
            <w:pPr>
              <w:spacing w:after="0" w:line="260"/>
            </w:pPr>
            <w:r>
              <w:rPr>
                <w:sz w:val="19"/>
                <w:szCs w:val="19"/>
              </w:rPr>
              <w:t xml:space="preserve">computed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capacity_deviation_pct</w:t>
            </w:r>
          </w:p>
        </w:tc>
        <w:tc>
          <w:tcPr>
            <w:tcW w:type="dxa" w:w="3960"/>
            <w:tcMar>
              <w:top w:type="dxa" w:w="60"/>
              <w:left w:type="dxa" w:w="100"/>
              <w:bottom w:type="dxa" w:w="60"/>
              <w:right w:type="dxa" w:w="100"/>
            </w:tcMar>
          </w:tcPr>
          <w:p>
            <w:pPr>
              <w:spacing w:after="0" w:line="260"/>
            </w:pPr>
            <w:r>
              <w:rPr>
                <w:sz w:val="19"/>
                <w:szCs w:val="19"/>
              </w:rPr>
              <w:t xml:space="preserve">retail minus authoritative, over authoritative, times 100, two decimals</w:t>
            </w:r>
          </w:p>
        </w:tc>
        <w:tc>
          <w:tcPr>
            <w:tcW w:type="dxa" w:w="1440"/>
            <w:tcMar>
              <w:top w:type="dxa" w:w="60"/>
              <w:left w:type="dxa" w:w="100"/>
              <w:bottom w:type="dxa" w:w="60"/>
              <w:right w:type="dxa" w:w="100"/>
            </w:tcMar>
          </w:tcPr>
          <w:p>
            <w:pPr>
              <w:spacing w:after="0" w:line="260"/>
            </w:pPr>
            <w:r>
              <w:rPr>
                <w:sz w:val="19"/>
                <w:szCs w:val="19"/>
              </w:rPr>
              <w:t xml:space="preserve">computed</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eer_deviation_pct</w:t>
            </w:r>
          </w:p>
        </w:tc>
        <w:tc>
          <w:tcPr>
            <w:tcW w:type="dxa" w:w="3960"/>
            <w:tcMar>
              <w:top w:type="dxa" w:w="60"/>
              <w:left w:type="dxa" w:w="100"/>
              <w:bottom w:type="dxa" w:w="60"/>
              <w:right w:type="dxa" w:w="100"/>
            </w:tcMar>
          </w:tcPr>
          <w:p>
            <w:pPr>
              <w:spacing w:after="0" w:line="260"/>
            </w:pPr>
            <w:r>
              <w:rPr>
                <w:sz w:val="19"/>
                <w:szCs w:val="19"/>
              </w:rPr>
              <w:t xml:space="preserve">same basis</w:t>
            </w:r>
          </w:p>
        </w:tc>
        <w:tc>
          <w:tcPr>
            <w:tcW w:type="dxa" w:w="1440"/>
            <w:tcMar>
              <w:top w:type="dxa" w:w="60"/>
              <w:left w:type="dxa" w:w="100"/>
              <w:bottom w:type="dxa" w:w="60"/>
              <w:right w:type="dxa" w:w="100"/>
            </w:tcMar>
          </w:tcPr>
          <w:p>
            <w:pPr>
              <w:spacing w:after="0" w:line="260"/>
            </w:pPr>
            <w:r>
              <w:rPr>
                <w:sz w:val="19"/>
                <w:szCs w:val="19"/>
              </w:rPr>
              <w:t xml:space="preserve">computed</w:t>
            </w:r>
          </w:p>
        </w:tc>
        <w:tc>
          <w:tcPr>
            <w:tcW w:type="dxa" w:w="1260"/>
            <w:tcMar>
              <w:top w:type="dxa" w:w="60"/>
              <w:left w:type="dxa" w:w="100"/>
              <w:bottom w:type="dxa" w:w="60"/>
              <w:right w:type="dxa" w:w="100"/>
            </w:tcMar>
          </w:tcPr>
          <w:p>
            <w:pPr>
              <w:spacing w:after="0" w:line="260"/>
            </w:pPr>
            <w:r>
              <w:rPr>
                <w:sz w:val="19"/>
                <w:szCs w:val="19"/>
              </w:rPr>
              <w:t xml:space="preserve">conditional</w:t>
            </w:r>
          </w:p>
        </w:tc>
      </w:tr>
      <w:tr>
        <w:tc>
          <w:tcPr>
            <w:tcW w:type="dxa" w:w="2340"/>
            <w:tcMar>
              <w:top w:type="dxa" w:w="60"/>
              <w:left w:type="dxa" w:w="100"/>
              <w:bottom w:type="dxa" w:w="60"/>
              <w:right w:type="dxa" w:w="100"/>
            </w:tcMar>
          </w:tcPr>
          <w:p>
            <w:pPr>
              <w:spacing w:after="0" w:line="260"/>
            </w:pPr>
            <w:r>
              <w:rPr>
                <w:sz w:val="19"/>
                <w:szCs w:val="19"/>
              </w:rPr>
              <w:t xml:space="preserve">qc_flag</w:t>
            </w:r>
          </w:p>
        </w:tc>
        <w:tc>
          <w:tcPr>
            <w:tcW w:type="dxa" w:w="3960"/>
            <w:tcMar>
              <w:top w:type="dxa" w:w="60"/>
              <w:left w:type="dxa" w:w="100"/>
              <w:bottom w:type="dxa" w:w="60"/>
              <w:right w:type="dxa" w:w="100"/>
            </w:tcMar>
          </w:tcPr>
          <w:p>
            <w:pPr>
              <w:spacing w:after="0" w:line="260"/>
            </w:pPr>
            <w:r>
              <w:rPr>
                <w:sz w:val="19"/>
                <w:szCs w:val="19"/>
              </w:rPr>
              <w:t xml:space="preserve">blank / eer_out_of_range / large_deviation / metric_mismatch / unresolved_match</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r>
        <w:tc>
          <w:tcPr>
            <w:tcW w:type="dxa" w:w="2340"/>
            <w:tcMar>
              <w:top w:type="dxa" w:w="60"/>
              <w:left w:type="dxa" w:w="100"/>
              <w:bottom w:type="dxa" w:w="60"/>
              <w:right w:type="dxa" w:w="100"/>
            </w:tcMar>
          </w:tcPr>
          <w:p>
            <w:pPr>
              <w:spacing w:after="0" w:line="260"/>
            </w:pPr>
            <w:r>
              <w:rPr>
                <w:sz w:val="19"/>
                <w:szCs w:val="19"/>
              </w:rPr>
              <w:t xml:space="preserve">match_ambiguous</w:t>
            </w:r>
          </w:p>
        </w:tc>
        <w:tc>
          <w:tcPr>
            <w:tcW w:type="dxa" w:w="3960"/>
            <w:tcMar>
              <w:top w:type="dxa" w:w="60"/>
              <w:left w:type="dxa" w:w="100"/>
              <w:bottom w:type="dxa" w:w="60"/>
              <w:right w:type="dxa" w:w="100"/>
            </w:tcMar>
          </w:tcPr>
          <w:p>
            <w:pPr>
              <w:spacing w:after="0" w:line="260"/>
            </w:pPr>
            <w:r>
              <w:rPr>
                <w:sz w:val="19"/>
                <w:szCs w:val="19"/>
              </w:rPr>
              <w:t xml:space="preserve">true / false, already present in the Phase A file; update it here</w:t>
            </w:r>
          </w:p>
        </w:tc>
        <w:tc>
          <w:tcPr>
            <w:tcW w:type="dxa" w:w="1440"/>
            <w:tcMar>
              <w:top w:type="dxa" w:w="60"/>
              <w:left w:type="dxa" w:w="100"/>
              <w:bottom w:type="dxa" w:w="60"/>
              <w:right w:type="dxa" w:w="100"/>
            </w:tcMar>
          </w:tcPr>
          <w:p>
            <w:pPr>
              <w:spacing w:after="0" w:line="260"/>
            </w:pPr>
            <w:r>
              <w:rPr>
                <w:sz w:val="19"/>
                <w:szCs w:val="19"/>
              </w:rPr>
              <w:t xml:space="preserve">derived</w:t>
            </w:r>
          </w:p>
        </w:tc>
        <w:tc>
          <w:tcPr>
            <w:tcW w:type="dxa" w:w="1260"/>
            <w:tcMar>
              <w:top w:type="dxa" w:w="60"/>
              <w:left w:type="dxa" w:w="100"/>
              <w:bottom w:type="dxa" w:w="60"/>
              <w:right w:type="dxa" w:w="100"/>
            </w:tcMar>
          </w:tcPr>
          <w:p>
            <w:pPr>
              <w:spacing w:after="0" w:line="260"/>
            </w:pPr>
            <w:r>
              <w:rPr>
                <w:sz w:val="19"/>
                <w:szCs w:val="19"/>
              </w:rPr>
              <w:t xml:space="preserve">yes</w:t>
            </w:r>
          </w:p>
        </w:tc>
      </w:tr>
    </w:tbl>
    <w:p>
      <w:pPr>
        <w:spacing w:after="120" w:line="276"/>
      </w:pPr>
      <w:r>
        <w:t xml:space="preserve">Column naming follows the existing Phase A file. Add the _auth columns, write adjudicated results into the unsuffixed columns, and keep the original retail values in _retail columns rather than renaming anything already collected.</w:t>
      </w:r>
    </w:p>
    <w:p>
      <w:pPr>
        <w:pStyle w:val="Heading1"/>
        <w:spacing w:after="160" w:before="320"/>
      </w:pPr>
      <w:r>
        <w:t xml:space="preserve">6.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6840"/>
      </w:tblGrid>
      <w:tr>
        <w:trPr>
          <w:tblHeader/>
        </w:trPr>
        <w:tc>
          <w:tcPr>
            <w:tcW w:type="dxa" w:w="2160"/>
            <w:shd w:fill="E8EDF2" w:color="auto" w:val="clear"/>
            <w:tcMar>
              <w:top w:type="dxa" w:w="60"/>
              <w:left w:type="dxa" w:w="100"/>
              <w:bottom w:type="dxa" w:w="60"/>
              <w:right w:type="dxa" w:w="100"/>
            </w:tcMar>
          </w:tcPr>
          <w:p>
            <w:pPr>
              <w:spacing w:after="0" w:line="260"/>
            </w:pPr>
            <w:r>
              <w:rPr>
                <w:b/>
                <w:bCs/>
                <w:sz w:val="19"/>
                <w:szCs w:val="19"/>
              </w:rPr>
              <w:t xml:space="preserve">File</w:t>
            </w:r>
          </w:p>
        </w:tc>
        <w:tc>
          <w:tcPr>
            <w:tcW w:type="dxa" w:w="6840"/>
            <w:shd w:fill="E8EDF2" w:color="auto" w:val="clear"/>
            <w:tcMar>
              <w:top w:type="dxa" w:w="60"/>
              <w:left w:type="dxa" w:w="100"/>
              <w:bottom w:type="dxa" w:w="60"/>
              <w:right w:type="dxa" w:w="100"/>
            </w:tcMar>
          </w:tcPr>
          <w:p>
            <w:pPr>
              <w:spacing w:after="0" w:line="260"/>
            </w:pPr>
            <w:r>
              <w:rPr>
                <w:b/>
                <w:bCs/>
                <w:sz w:val="19"/>
                <w:szCs w:val="19"/>
              </w:rPr>
              <w:t xml:space="preserve">Contents</w:t>
            </w:r>
          </w:p>
        </w:tc>
      </w:tr>
      <w:tr>
        <w:tc>
          <w:tcPr>
            <w:tcW w:type="dxa" w:w="2160"/>
            <w:tcMar>
              <w:top w:type="dxa" w:w="60"/>
              <w:left w:type="dxa" w:w="100"/>
              <w:bottom w:type="dxa" w:w="60"/>
              <w:right w:type="dxa" w:w="100"/>
            </w:tcMar>
          </w:tcPr>
          <w:p>
            <w:pPr>
              <w:spacing w:after="0" w:line="260"/>
            </w:pPr>
            <w:r>
              <w:rPr>
                <w:sz w:val="19"/>
                <w:szCs w:val="19"/>
              </w:rPr>
              <w:t xml:space="preserve">{RUN_ID}_records.xlsx</w:t>
            </w:r>
          </w:p>
        </w:tc>
        <w:tc>
          <w:tcPr>
            <w:tcW w:type="dxa" w:w="6840"/>
            <w:tcMar>
              <w:top w:type="dxa" w:w="60"/>
              <w:left w:type="dxa" w:w="100"/>
              <w:bottom w:type="dxa" w:w="60"/>
              <w:right w:type="dxa" w:w="100"/>
            </w:tcMar>
          </w:tcPr>
          <w:p>
            <w:pPr>
              <w:spacing w:after="0" w:line="260"/>
            </w:pPr>
            <w:r>
              <w:rPr>
                <w:sz w:val="19"/>
                <w:szCs w:val="19"/>
              </w:rPr>
              <w:t xml:space="preserve">The Phase A record file with the tracing and final layers appended, columns per Section 5. Phase A columns unaltered</w:t>
            </w:r>
          </w:p>
        </w:tc>
      </w:tr>
      <w:tr>
        <w:tc>
          <w:tcPr>
            <w:tcW w:type="dxa" w:w="2160"/>
            <w:tcMar>
              <w:top w:type="dxa" w:w="60"/>
              <w:left w:type="dxa" w:w="100"/>
              <w:bottom w:type="dxa" w:w="60"/>
              <w:right w:type="dxa" w:w="100"/>
            </w:tcMar>
          </w:tcPr>
          <w:p>
            <w:pPr>
              <w:spacing w:after="0" w:line="260"/>
            </w:pPr>
            <w:r>
              <w:rPr>
                <w:sz w:val="19"/>
                <w:szCs w:val="19"/>
              </w:rPr>
              <w:t xml:space="preserve">{RUN_ID}_run_log.md</w:t>
            </w:r>
          </w:p>
        </w:tc>
        <w:tc>
          <w:tcPr>
            <w:tcW w:type="dxa" w:w="6840"/>
            <w:tcMar>
              <w:top w:type="dxa" w:w="60"/>
              <w:left w:type="dxa" w:w="100"/>
              <w:bottom w:type="dxa" w:w="60"/>
              <w:right w:type="dxa" w:w="100"/>
            </w:tcMar>
          </w:tcPr>
          <w:p>
            <w:pPr>
              <w:spacing w:after="0" w:line="260"/>
            </w:pPr>
            <w:r>
              <w:rPr>
                <w:sz w:val="19"/>
                <w:szCs w:val="19"/>
              </w:rPr>
              <w:t xml:space="preserve">The Phase A log with two sections appended. Tracing section: source reachability, working tier order, suffix rules, sources searched and how, model recovery rate by source, hit rates by tier and by brand tier, fallback share, unresolved candidate list, deviations above threshold. Defects section: registry behaviour anomalies, systematic gaps, situations this prompt does not cover</w:t>
            </w:r>
          </w:p>
        </w:tc>
      </w:tr>
      <w:tr>
        <w:tc>
          <w:tcPr>
            <w:tcW w:type="dxa" w:w="2160"/>
            <w:tcMar>
              <w:top w:type="dxa" w:w="60"/>
              <w:left w:type="dxa" w:w="100"/>
              <w:bottom w:type="dxa" w:w="60"/>
              <w:right w:type="dxa" w:w="100"/>
            </w:tcMar>
          </w:tcPr>
          <w:p>
            <w:pPr>
              <w:spacing w:after="0" w:line="260"/>
            </w:pPr>
            <w:r>
              <w:rPr>
                <w:sz w:val="19"/>
                <w:szCs w:val="19"/>
              </w:rPr>
              <w:t xml:space="preserve">snapshots/</w:t>
            </w:r>
          </w:p>
        </w:tc>
        <w:tc>
          <w:tcPr>
            <w:tcW w:type="dxa" w:w="6840"/>
            <w:tcMar>
              <w:top w:type="dxa" w:w="60"/>
              <w:left w:type="dxa" w:w="100"/>
              <w:bottom w:type="dxa" w:w="60"/>
              <w:right w:type="dxa" w:w="100"/>
            </w:tcMar>
          </w:tcPr>
          <w:p>
            <w:pPr>
              <w:spacing w:after="0" w:line="260"/>
            </w:pPr>
            <w:r>
              <w:rPr>
                <w:sz w:val="19"/>
                <w:szCs w:val="19"/>
              </w:rPr>
              <w:t xml:space="preserve">Authoritative source PNGs and PDFs with a sha256 manifest</w:t>
            </w:r>
          </w:p>
        </w:tc>
      </w:tr>
    </w:tbl>
    <w:p>
      <w:pPr>
        <w:pStyle w:val="Heading2"/>
        <w:spacing w:after="130" w:before="260"/>
      </w:pPr>
      <w:r>
        <w:t xml:space="preserve">6.1　Resource record</w:t>
      </w:r>
    </w:p>
    <w:p>
      <w:pPr>
        <w:spacing w:after="120" w:line="276"/>
      </w:pPr>
      <w:r>
        <w:t xml:space="preserve">Append one row on completing each step, not from memory at the end. Where the runtime gives no token count, enter an estimate marked estimated. Record per-record means separately for registry matching and for manufacturer lookups, since the two differ substantially in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2340"/>
        <w:gridCol w:w="1080"/>
        <w:gridCol w:w="1440"/>
        <w:gridCol w:w="1440"/>
        <w:gridCol w:w="1440"/>
      </w:tblGrid>
      <w:tr>
        <w:trPr>
          <w:tblHeader/>
        </w:trPr>
        <w:tc>
          <w:tcPr>
            <w:tcW w:type="dxa" w:w="1260"/>
            <w:shd w:fill="E8EDF2" w:color="auto" w:val="clear"/>
            <w:tcMar>
              <w:top w:type="dxa" w:w="60"/>
              <w:left w:type="dxa" w:w="100"/>
              <w:bottom w:type="dxa" w:w="60"/>
              <w:right w:type="dxa" w:w="100"/>
            </w:tcMar>
          </w:tcPr>
          <w:p>
            <w:pPr>
              <w:spacing w:after="0" w:line="260"/>
            </w:pPr>
            <w:r>
              <w:rPr>
                <w:b/>
                <w:bCs/>
                <w:sz w:val="19"/>
                <w:szCs w:val="19"/>
              </w:rPr>
              <w:t xml:space="preserve">Step</w:t>
            </w:r>
          </w:p>
        </w:tc>
        <w:tc>
          <w:tcPr>
            <w:tcW w:type="dxa" w:w="2340"/>
            <w:shd w:fill="E8EDF2" w:color="auto" w:val="clear"/>
            <w:tcMar>
              <w:top w:type="dxa" w:w="60"/>
              <w:left w:type="dxa" w:w="100"/>
              <w:bottom w:type="dxa" w:w="60"/>
              <w:right w:type="dxa" w:w="100"/>
            </w:tcMar>
          </w:tcPr>
          <w:p>
            <w:pPr>
              <w:spacing w:after="0" w:line="260"/>
            </w:pPr>
            <w:r>
              <w:rPr>
                <w:b/>
                <w:bCs/>
                <w:sz w:val="19"/>
                <w:szCs w:val="19"/>
              </w:rPr>
              <w:t xml:space="preserve">Start and end (UTC)</w:t>
            </w:r>
          </w:p>
        </w:tc>
        <w:tc>
          <w:tcPr>
            <w:tcW w:type="dxa" w:w="1080"/>
            <w:shd w:fill="E8EDF2" w:color="auto" w:val="clear"/>
            <w:tcMar>
              <w:top w:type="dxa" w:w="60"/>
              <w:left w:type="dxa" w:w="100"/>
              <w:bottom w:type="dxa" w:w="60"/>
              <w:right w:type="dxa" w:w="100"/>
            </w:tcMar>
          </w:tcPr>
          <w:p>
            <w:pPr>
              <w:spacing w:after="0" w:line="260"/>
            </w:pPr>
            <w:r>
              <w:rPr>
                <w:b/>
                <w:bCs/>
                <w:sz w:val="19"/>
                <w:szCs w:val="19"/>
              </w:rPr>
              <w:t xml:space="preserve">Elapsed</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Input tokens</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Output tokens</w:t>
            </w:r>
          </w:p>
        </w:tc>
        <w:tc>
          <w:tcPr>
            <w:tcW w:type="dxa" w:w="1440"/>
            <w:shd w:fill="E8EDF2" w:color="auto" w:val="clear"/>
            <w:tcMar>
              <w:top w:type="dxa" w:w="60"/>
              <w:left w:type="dxa" w:w="100"/>
              <w:bottom w:type="dxa" w:w="60"/>
              <w:right w:type="dxa" w:w="100"/>
            </w:tcMar>
          </w:tcPr>
          <w:p>
            <w:pPr>
              <w:spacing w:after="0" w:line="260"/>
            </w:pPr>
            <w:r>
              <w:rPr>
                <w:b/>
                <w:bCs/>
                <w:sz w:val="19"/>
                <w:szCs w:val="19"/>
              </w:rPr>
              <w:t xml:space="preserve">Records</w:t>
            </w:r>
          </w:p>
        </w:tc>
      </w:tr>
      <w:tr>
        <w:tc>
          <w:tcPr>
            <w:tcW w:type="dxa" w:w="1260"/>
            <w:tcMar>
              <w:top w:type="dxa" w:w="60"/>
              <w:left w:type="dxa" w:w="100"/>
              <w:bottom w:type="dxa" w:w="60"/>
              <w:right w:type="dxa" w:w="100"/>
            </w:tcMar>
          </w:tcPr>
          <w:p>
            <w:pPr>
              <w:spacing w:after="0" w:line="260"/>
            </w:pPr>
            <w:r>
              <w:rPr>
                <w:sz w:val="19"/>
                <w:szCs w:val="19"/>
              </w:rPr>
              <w:t xml:space="preserve">9</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10</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11 to 12</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13 to 14</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r>
        <w:tc>
          <w:tcPr>
            <w:tcW w:type="dxa" w:w="1260"/>
            <w:tcMar>
              <w:top w:type="dxa" w:w="60"/>
              <w:left w:type="dxa" w:w="100"/>
              <w:bottom w:type="dxa" w:w="60"/>
              <w:right w:type="dxa" w:w="100"/>
            </w:tcMar>
          </w:tcPr>
          <w:p>
            <w:pPr>
              <w:spacing w:after="0" w:line="260"/>
            </w:pPr>
            <w:r>
              <w:rPr>
                <w:sz w:val="19"/>
                <w:szCs w:val="19"/>
              </w:rPr>
              <w:t xml:space="preserve">Total</w:t>
            </w:r>
          </w:p>
        </w:tc>
        <w:tc>
          <w:tcPr>
            <w:tcW w:type="dxa" w:w="2340"/>
            <w:tcMar>
              <w:top w:type="dxa" w:w="60"/>
              <w:left w:type="dxa" w:w="100"/>
              <w:bottom w:type="dxa" w:w="60"/>
              <w:right w:type="dxa" w:w="100"/>
            </w:tcMar>
          </w:tcPr>
          <w:p>
            <w:pPr>
              <w:spacing w:after="0" w:line="260"/>
            </w:pPr>
            <w:r>
              <w:rPr>
                <w:sz w:val="19"/>
                <w:szCs w:val="19"/>
              </w:rPr>
              <w:t xml:space="preserve"/>
            </w:r>
          </w:p>
        </w:tc>
        <w:tc>
          <w:tcPr>
            <w:tcW w:type="dxa" w:w="108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c>
          <w:tcPr>
            <w:tcW w:type="dxa" w:w="1440"/>
            <w:tcMar>
              <w:top w:type="dxa" w:w="60"/>
              <w:left w:type="dxa" w:w="100"/>
              <w:bottom w:type="dxa" w:w="60"/>
              <w:right w:type="dxa" w:w="100"/>
            </w:tcMar>
          </w:tcPr>
          <w:p>
            <w:pPr>
              <w:spacing w:after="0" w:line="260"/>
            </w:pPr>
            <w:r>
              <w:rPr>
                <w:sz w:val="19"/>
                <w:szCs w:val="19"/>
              </w:rPr>
              <w:t xml:space="preserve"/>
            </w:r>
          </w:p>
        </w:tc>
      </w:tr>
    </w:tbl>
    <w:p>
      <w:pPr>
        <w:pStyle w:val="Heading1"/>
        <w:spacing w:after="160" w:before="320"/>
      </w:pPr>
      <w:r>
        <w:t xml:space="preserve">7. Pre-submission checklist</w:t>
      </w:r>
    </w:p>
    <w:p>
      <w:pPr>
        <w:pStyle w:val="ListParagraph"/>
        <w:numPr>
          <w:ilvl w:val="0"/>
          <w:numId w:val="4"/>
        </w:numPr>
        <w:spacing w:after="80" w:line="276"/>
      </w:pPr>
      <w:r>
        <w:t xml:space="preserve">Checkpoint 1 was approved before this run began, and source reachability is reported with any blocked source recorded as C-geo and no circumvention attempted.</w:t>
      </w:r>
    </w:p>
    <w:p>
      <w:pPr>
        <w:pStyle w:val="ListParagraph"/>
        <w:numPr>
          <w:ilvl w:val="0"/>
          <w:numId w:val="4"/>
        </w:numPr>
        <w:spacing w:after="80" w:line="276"/>
      </w:pPr>
      <w:r>
        <w:t xml:space="preserve">Priority 1 rows went through both the registry and the manufacturer site; none were skipped.</w:t>
      </w:r>
    </w:p>
    <w:p>
      <w:pPr>
        <w:pStyle w:val="ListParagraph"/>
        <w:numPr>
          <w:ilvl w:val="0"/>
          <w:numId w:val="4"/>
        </w:numPr>
        <w:spacing w:after="80" w:line="276"/>
      </w:pPr>
      <w:r>
        <w:t xml:space="preserve">manufacturer_mpn was the join key throughout; platform_sku was never used for matching.</w:t>
      </w:r>
    </w:p>
    <w:p>
      <w:pPr>
        <w:pStyle w:val="ListParagraph"/>
        <w:numPr>
          <w:ilvl w:val="0"/>
          <w:numId w:val="4"/>
        </w:numPr>
        <w:spacing w:after="80" w:line="276"/>
      </w:pPr>
      <w:r>
        <w:t xml:space="preserve">Model recovery was run only for rows with mpn_missing true, and mpn_recovered_from is filled for those rows.</w:t>
      </w:r>
    </w:p>
    <w:p>
      <w:pPr>
        <w:pStyle w:val="ListParagraph"/>
        <w:numPr>
          <w:ilvl w:val="0"/>
          <w:numId w:val="4"/>
        </w:numPr>
        <w:spacing w:after="80" w:line="276"/>
      </w:pPr>
      <w:r>
        <w:t xml:space="preserve">Suffix stripping rules are defined once and logged.</w:t>
      </w:r>
    </w:p>
    <w:p>
      <w:pPr>
        <w:pStyle w:val="ListParagraph"/>
        <w:numPr>
          <w:ilvl w:val="0"/>
          <w:numId w:val="4"/>
        </w:numPr>
        <w:spacing w:after="80" w:line="276"/>
      </w:pPr>
      <w:r>
        <w:t xml:space="preserve">Every value-producing source has a snapshot and a SHA-256; failed searches have none.</w:t>
      </w:r>
    </w:p>
    <w:p>
      <w:pPr>
        <w:pStyle w:val="ListParagraph"/>
        <w:numPr>
          <w:ilvl w:val="0"/>
          <w:numId w:val="4"/>
        </w:numPr>
        <w:spacing w:after="80" w:line="276"/>
      </w:pPr>
      <w:r>
        <w:t xml:space="preserve">efficiency_source_url points at the authoritative source, not the retail page.</w:t>
      </w:r>
    </w:p>
    <w:p>
      <w:pPr>
        <w:pStyle w:val="ListParagraph"/>
        <w:numPr>
          <w:ilvl w:val="0"/>
          <w:numId w:val="4"/>
        </w:numPr>
        <w:spacing w:after="80" w:line="276"/>
      </w:pPr>
      <w:r>
        <w:t xml:space="preserve">efficiency_source_tier and capacity_source are filled on every row, including fallbacks.</w:t>
      </w:r>
    </w:p>
    <w:p>
      <w:pPr>
        <w:pStyle w:val="ListParagraph"/>
        <w:numPr>
          <w:ilvl w:val="0"/>
          <w:numId w:val="4"/>
        </w:numPr>
        <w:spacing w:after="80" w:line="276"/>
      </w:pPr>
      <w:r>
        <w:t xml:space="preserve">label_version_auth is filled on every matched row, and no version was inferred from a grade.</w:t>
      </w:r>
    </w:p>
    <w:p>
      <w:pPr>
        <w:pStyle w:val="ListParagraph"/>
        <w:numPr>
          <w:ilvl w:val="0"/>
          <w:numId w:val="4"/>
        </w:numPr>
        <w:spacing w:after="80" w:line="276"/>
      </w:pPr>
      <w:r>
        <w:t xml:space="preserve">Capacity was converted to a common unit before any deviation was computed.</w:t>
      </w:r>
    </w:p>
    <w:p>
      <w:pPr>
        <w:pStyle w:val="ListParagraph"/>
        <w:numPr>
          <w:ilvl w:val="0"/>
          <w:numId w:val="4"/>
        </w:numPr>
        <w:spacing w:after="80" w:line="276"/>
      </w:pPr>
      <w:r>
        <w:t xml:space="preserve">rated_eer recomputed from adjudicated values; deviations computed and flagged where above threshold, and metric mismatches flagged rather than computed.</w:t>
      </w:r>
    </w:p>
    <w:p>
      <w:pPr>
        <w:pStyle w:val="ListParagraph"/>
        <w:numPr>
          <w:ilvl w:val="0"/>
          <w:numId w:val="4"/>
        </w:numPr>
        <w:spacing w:after="80" w:line="276"/>
      </w:pPr>
      <w:r>
        <w:t xml:space="preserve">Hit rates reported by tier and by brand tier; the fallback share is reported explicitly.</w:t>
      </w:r>
    </w:p>
    <w:p>
      <w:pPr>
        <w:pStyle w:val="ListParagraph"/>
        <w:numPr>
          <w:ilvl w:val="0"/>
          <w:numId w:val="4"/>
        </w:numPr>
        <w:spacing w:after="80" w:line="276"/>
      </w:pPr>
      <w:r>
        <w:t xml:space="preserve">No record was deleted because tracing failed.</w:t>
      </w:r>
    </w:p>
    <w:p>
      <w:pPr>
        <w:pStyle w:val="Heading1"/>
        <w:spacing w:after="160" w:before="320"/>
      </w:pPr>
      <w:r>
        <w:t xml:space="preserve">8. Kenya specific rules</w:t>
      </w:r>
    </w:p>
    <w:p>
      <w:pPr>
        <w:spacing w:after="120" w:line="276"/>
      </w:pPr>
      <w:r>
        <w:t xml:space="preserve">These override the general procedure wherever they conflict.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E8EDF2" w:color="auto" w:val="clear"/>
            <w:tcMar>
              <w:top w:type="dxa" w:w="60"/>
              <w:left w:type="dxa" w:w="100"/>
              <w:bottom w:type="dxa" w:w="60"/>
              <w:right w:type="dxa" w:w="100"/>
            </w:tcMar>
          </w:tcPr>
          <w:p>
            <w:pPr>
              <w:spacing w:after="0" w:line="260"/>
            </w:pPr>
            <w:r>
              <w:rPr>
                <w:b/>
                <w:bCs/>
                <w:sz w:val="19"/>
                <w:szCs w:val="19"/>
              </w:rPr>
              <w:t xml:space="preserve">Item</w:t>
            </w:r>
          </w:p>
        </w:tc>
        <w:tc>
          <w:tcPr>
            <w:tcW w:type="dxa" w:w="7200"/>
            <w:shd w:fill="E8EDF2" w:color="auto" w:val="clear"/>
            <w:tcMar>
              <w:top w:type="dxa" w:w="60"/>
              <w:left w:type="dxa" w:w="100"/>
              <w:bottom w:type="dxa" w:w="60"/>
              <w:right w:type="dxa" w:w="100"/>
            </w:tcMar>
          </w:tcPr>
          <w:p>
            <w:pPr>
              <w:spacing w:after="0" w:line="260"/>
            </w:pPr>
            <w:r>
              <w:rPr>
                <w:b/>
                <w:bCs/>
                <w:sz w:val="19"/>
                <w:szCs w:val="19"/>
              </w:rPr>
              <w:t xml:space="preserve">Rule</w:t>
            </w:r>
          </w:p>
        </w:tc>
      </w:tr>
      <w:tr>
        <w:tc>
          <w:tcPr>
            <w:tcW w:type="dxa" w:w="1800"/>
            <w:tcMar>
              <w:top w:type="dxa" w:w="60"/>
              <w:left w:type="dxa" w:w="100"/>
              <w:bottom w:type="dxa" w:w="60"/>
              <w:right w:type="dxa" w:w="100"/>
            </w:tcMar>
          </w:tcPr>
          <w:p>
            <w:pPr>
              <w:spacing w:after="0" w:line="260"/>
            </w:pPr>
            <w:r>
              <w:rPr>
                <w:sz w:val="19"/>
                <w:szCs w:val="19"/>
              </w:rPr>
              <w:t xml:space="preserve">Register scope</w:t>
            </w:r>
          </w:p>
        </w:tc>
        <w:tc>
          <w:tcPr>
            <w:tcW w:type="dxa" w:w="7200"/>
            <w:tcMar>
              <w:top w:type="dxa" w:w="60"/>
              <w:left w:type="dxa" w:w="100"/>
              <w:bottom w:type="dxa" w:w="60"/>
              <w:right w:type="dxa" w:w="100"/>
            </w:tcMar>
          </w:tcPr>
          <w:p>
            <w:pPr>
              <w:spacing w:after="0" w:line="260"/>
            </w:pPr>
            <w:r>
              <w:rPr>
                <w:sz w:val="19"/>
                <w:szCs w:val="19"/>
              </w:rPr>
              <w:t xml:space="preserve">The EPRA register lists appliances that met the MEPS and were granted a label. Models sold without registration do not appear. A registry miss is therefore not evidence that the model does not exist, and every miss is routed to the manufacturer site rather than closed as absent.</w:t>
            </w:r>
          </w:p>
        </w:tc>
      </w:tr>
      <w:tr>
        <w:tc>
          <w:tcPr>
            <w:tcW w:type="dxa" w:w="1800"/>
            <w:tcMar>
              <w:top w:type="dxa" w:w="60"/>
              <w:left w:type="dxa" w:w="100"/>
              <w:bottom w:type="dxa" w:w="60"/>
              <w:right w:type="dxa" w:w="100"/>
            </w:tcMar>
          </w:tcPr>
          <w:p>
            <w:pPr>
              <w:spacing w:after="0" w:line="260"/>
            </w:pPr>
            <w:r>
              <w:rPr>
                <w:sz w:val="19"/>
                <w:szCs w:val="19"/>
              </w:rPr>
              <w:t xml:space="preserve">Capacity units</w:t>
            </w:r>
          </w:p>
        </w:tc>
        <w:tc>
          <w:tcPr>
            <w:tcW w:type="dxa" w:w="7200"/>
            <w:tcMar>
              <w:top w:type="dxa" w:w="60"/>
              <w:left w:type="dxa" w:w="100"/>
              <w:bottom w:type="dxa" w:w="60"/>
              <w:right w:type="dxa" w:w="100"/>
            </w:tcMar>
          </w:tcPr>
          <w:p>
            <w:pPr>
              <w:spacing w:after="0" w:line="260"/>
            </w:pPr>
            <w:r>
              <w:rPr>
                <w:sz w:val="19"/>
                <w:szCs w:val="19"/>
              </w:rPr>
              <w:t xml:space="preserve">Kenyan sources state cooling capacity in BTU per hour. Record the printed figure and unit in the _auth raw columns, then convert at 0.29307 watts per BTU per hour. This is a unit conversion, not a computation.</w:t>
            </w:r>
          </w:p>
        </w:tc>
      </w:tr>
      <w:tr>
        <w:tc>
          <w:tcPr>
            <w:tcW w:type="dxa" w:w="1800"/>
            <w:tcMar>
              <w:top w:type="dxa" w:w="60"/>
              <w:left w:type="dxa" w:w="100"/>
              <w:bottom w:type="dxa" w:w="60"/>
              <w:right w:type="dxa" w:w="100"/>
            </w:tcMar>
          </w:tcPr>
          <w:p>
            <w:pPr>
              <w:spacing w:after="0" w:line="260"/>
            </w:pPr>
            <w:r>
              <w:rPr>
                <w:sz w:val="19"/>
                <w:szCs w:val="19"/>
              </w:rPr>
              <w:t xml:space="preserve">Star rating</w:t>
            </w:r>
          </w:p>
        </w:tc>
        <w:tc>
          <w:tcPr>
            <w:tcW w:type="dxa" w:w="7200"/>
            <w:tcMar>
              <w:top w:type="dxa" w:w="60"/>
              <w:left w:type="dxa" w:w="100"/>
              <w:bottom w:type="dxa" w:w="60"/>
              <w:right w:type="dxa" w:w="100"/>
            </w:tcMar>
          </w:tcPr>
          <w:p>
            <w:pPr>
              <w:spacing w:after="0" w:line="260"/>
            </w:pPr>
            <w:r>
              <w:rPr>
                <w:sz w:val="19"/>
                <w:szCs w:val="19"/>
              </w:rPr>
              <w:t xml:space="preserve">The star rating is a label output, not an efficiency value, and must never be converted into one. Record it in label_grade_auth and record EER separately in efficiency_native.</w:t>
            </w:r>
          </w:p>
        </w:tc>
      </w:tr>
      <w:tr>
        <w:tc>
          <w:tcPr>
            <w:tcW w:type="dxa" w:w="1800"/>
            <w:tcMar>
              <w:top w:type="dxa" w:w="60"/>
              <w:left w:type="dxa" w:w="100"/>
              <w:bottom w:type="dxa" w:w="60"/>
              <w:right w:type="dxa" w:w="100"/>
            </w:tcMar>
          </w:tcPr>
          <w:p>
            <w:pPr>
              <w:spacing w:after="0" w:line="260"/>
            </w:pPr>
            <w:r>
              <w:rPr>
                <w:sz w:val="19"/>
                <w:szCs w:val="19"/>
              </w:rPr>
              <w:t xml:space="preserve">Regional brand documentation</w:t>
            </w:r>
          </w:p>
        </w:tc>
        <w:tc>
          <w:tcPr>
            <w:tcW w:type="dxa" w:w="7200"/>
            <w:tcMar>
              <w:top w:type="dxa" w:w="60"/>
              <w:left w:type="dxa" w:w="100"/>
              <w:bottom w:type="dxa" w:w="60"/>
              <w:right w:type="dxa" w:w="100"/>
            </w:tcMar>
          </w:tcPr>
          <w:p>
            <w:pPr>
              <w:spacing w:after="0" w:line="260"/>
            </w:pPr>
            <w:r>
              <w:rPr>
                <w:sz w:val="19"/>
                <w:szCs w:val="19"/>
              </w:rPr>
              <w:t xml:space="preserve">East African house brands publish little or no specification documentation, and several are rebadged imports whose model codes do not resolve on any manufacturer site. A high fallback share for that tier is expected. Report it by brand tier rather than compensating for it.</w:t>
            </w:r>
          </w:p>
        </w:tc>
      </w:tr>
      <w:tr>
        <w:tc>
          <w:tcPr>
            <w:tcW w:type="dxa" w:w="1800"/>
            <w:tcMar>
              <w:top w:type="dxa" w:w="60"/>
              <w:left w:type="dxa" w:w="100"/>
              <w:bottom w:type="dxa" w:w="60"/>
              <w:right w:type="dxa" w:w="100"/>
            </w:tcMar>
          </w:tcPr>
          <w:p>
            <w:pPr>
              <w:spacing w:after="0" w:line="260"/>
            </w:pPr>
            <w:r>
              <w:rPr>
                <w:sz w:val="19"/>
                <w:szCs w:val="19"/>
              </w:rPr>
              <w:t xml:space="preserve">Regional variants</w:t>
            </w:r>
          </w:p>
        </w:tc>
        <w:tc>
          <w:tcPr>
            <w:tcW w:type="dxa" w:w="7200"/>
            <w:tcMar>
              <w:top w:type="dxa" w:w="60"/>
              <w:left w:type="dxa" w:w="100"/>
              <w:bottom w:type="dxa" w:w="60"/>
              <w:right w:type="dxa" w:w="100"/>
            </w:tcMar>
          </w:tcPr>
          <w:p>
            <w:pPr>
              <w:spacing w:after="0" w:line="260"/>
            </w:pPr>
            <w:r>
              <w:rPr>
                <w:sz w:val="19"/>
                <w:szCs w:val="19"/>
              </w:rPr>
              <w:t xml:space="preserve">International brands sell Kenyan or wider African variants whose model codes differ from the global catalogue. Always take the Kenyan page where one exists. Where the site offers no country selector, set match_ambiguous to true and list the candidates.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lvl w:ilvl="1" w15:tentative="1">
      <w:start w:val="1"/>
      <w:numFmt w:val="bullet"/>
      <w:lvlText w:val="◦"/>
      <w:lvlJc w:val="left"/>
      <w:pPr>
        <w:ind w:left="740" w:hanging="200"/>
      </w:pPr>
    </w:lvl>
  </w:abstractNum>
  <w:abstractNum w:abstractNumId="3" w15:restartNumberingAfterBreak="0">
    <w:multiLevelType w:val="hybridMultilevel"/>
    <w:lvl w:ilvl="0" w15:tentative="1">
      <w:start w:val="1"/>
      <w:numFmt w:val="decimal"/>
      <w:lvlText w:val="%1."/>
      <w:lvlJc w:val="left"/>
      <w:pPr>
        <w:ind w:left="380" w:hanging="200"/>
      </w:pPr>
    </w:lvl>
  </w:abstractNum>
  <w:abstractNum w:abstractNumId="4" w15:restartNumberingAfterBreak="0">
    <w:multiLevelType w:val="hybridMultilevel"/>
    <w:lvl w:ilvl="0" w15:tentative="1">
      <w:start w:val="1"/>
      <w:numFmt w:val="decimal"/>
      <w:lvlText w:val="%1."/>
      <w:lvlJc w:val="left"/>
      <w:pPr>
        <w:ind w:left="38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2026-08-26T21:25:28.683Z</dcterms:created>
  <dcterms:modified xsi:type="dcterms:W3CDTF">2026-08-26T21:25:28.683Z</dcterms:modified>
</cp:coreProperties>
</file>

<file path=docProps/custom.xml><?xml version="1.0" encoding="utf-8"?>
<Properties xmlns="http://schemas.openxmlformats.org/officeDocument/2006/custom-properties" xmlns:vt="http://schemas.openxmlformats.org/officeDocument/2006/docPropsVTypes"/>
</file>