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sz="18" w:val="none" w:color="#000000" w:space="0"/>
            </w:tcBorders>
            <w:tcBorders>
              <w:bottom w:sz="18" w:val="none" w:color="#000000" w:space="0"/>
            </w:tcBorders>
            <w:tcBorders>
              <w:left w:sz="18" w:val="none" w:color="#000000" w:space="0"/>
            </w:tcBorders>
            <w:tcBorders>
              <w:right w:sz="18" w:val="none" w:color="#000000" w:space="0"/>
            </w:tcBorders>
          </w:tcPr>
          <w:p>
            <w:pPr>
              <w:jc w:val="center"/>
            </w:pPr>
            <w:r>
              <w:br/>
              <w:t>CURRENT AND PENDING RESEARCH SUPPORT DISCLOUSRE</w:t>
            </w:r>
            <w:r>
              <w:rPr>
                <w:rFonts w:ascii="Calibri (Body)" w:hAnsi="Calibri (Body)"/>
                <w:b w:val="0"/>
                <w:sz w:val="24"/>
              </w:rPr>
              <w:br/>
              <w:t>FY 2026 Reserch Grant Application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sz="4" w:val="none" w:color="#FFFFFF" w:space="0"/>
            </w:tcBorders>
            <w:tcBorders>
              <w:left w:sz="4" w:val="double" w:color="#FFFFFF" w:space="0"/>
            </w:tcBorders>
            <w:tcBorders>
              <w:right w:sz="4" w:val="none" w:color="#FFFFFF" w:space="0"/>
            </w:tcBorders>
            <w:tcBorders>
              <w:bottom w:sz="4" w:val="none" w:color="#FFFFFF" w:space="0"/>
            </w:tcBorders>
          </w:tcPr>
          <w:p/>
          <w:p>
            <w:pPr>
              <w:spacing w:after="0" w:line="240" w:lineRule="auto"/>
              <w:ind w:left="0"/>
            </w:pPr>
            <w:r>
              <w:rPr>
                <w:rFonts w:ascii="Calibri (Body)" w:hAnsi="Calibri (Body)"/>
                <w:b/>
                <w:sz w:val="24"/>
              </w:rPr>
              <w:t xml:space="preserve">Instructions: </w:t>
            </w:r>
          </w:p>
          <w:p>
            <w:pPr>
              <w:pStyle w:val="ListNumber"/>
              <w:spacing w:after="0" w:line="240" w:lineRule="auto"/>
              <w:ind w:left="720"/>
            </w:pPr>
            <w:r>
              <w:rPr>
                <w:rFonts w:ascii="Calibri (Body)" w:hAnsi="Calibri (Body)"/>
                <w:b w:val="0"/>
                <w:sz w:val="24"/>
              </w:rPr>
              <w:t xml:space="preserve">Record information for all active and pending projects/proposals, as well as all proposed research that is being considered by, or will be submitted to, </w:t>
              <w:tab/>
              <w:t>other possible sponsors soon. (Concurrent submission of a proposal to other organizations will not prejudice its review.)</w:t>
            </w:r>
          </w:p>
          <w:p>
            <w:pPr>
              <w:pStyle w:val="ListNumber"/>
              <w:spacing w:after="0" w:line="240" w:lineRule="auto"/>
              <w:ind w:left="720"/>
            </w:pPr>
            <w:r>
              <w:rPr>
                <w:rFonts w:ascii="Calibri (Body)" w:hAnsi="Calibri (Body)"/>
                <w:b w:val="0"/>
                <w:sz w:val="24"/>
              </w:rPr>
              <w:t>All current research to which principal investigator(s) and other senior personnel have committed a portion of their time must be listed, whether salary/benefits for the person involved are included in the budgets of those projects.</w:t>
            </w:r>
          </w:p>
          <w:p>
            <w:pPr>
              <w:pStyle w:val="ListNumber"/>
              <w:spacing w:after="0" w:line="240" w:lineRule="auto"/>
              <w:ind w:left="720"/>
            </w:pPr>
            <w:r>
              <w:rPr>
                <w:rFonts w:ascii="Calibri (Body)" w:hAnsi="Calibri (Body)"/>
                <w:b w:val="0"/>
                <w:sz w:val="24"/>
              </w:rPr>
              <w:t>Use additional sheets if necessary.</w:t>
            </w:r>
          </w:p>
        </w:tc>
      </w:tr>
    </w:tbl>
    <w:tbl>
      <w:tblPr>
        <w:tblStyle w:val="PlainTable4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NAME(S) OF PRINCIPAL INVESTIGATORS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SUPPORTING AGENCY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TOTAL $ AMOUNT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EFFECTIVE AND EXPIRATION DATES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 xml:space="preserve"> % OF TIME COMMITTED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0" w:val="sing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TITLE OF PROJECT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Current</w:t>
              <w:br/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0" w:val="sing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In  Department Of Natural Resources  CONTRACT #84522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$147,727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09/18/2024 - 09/17/2025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Pest Outreach and Survey Project ( FPOSP) FY 2025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Jacobs, Douglass F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National Science Foundation  1916587-IIP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$458,708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12/15/2019 - 11/30/2025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Phase III IUCRC Purdue University: Center for Advanced Forestry Systems (CAFS)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Service, U.S.  21-CS-11242314-092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$84,308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09/22/2021 - 10/31/2025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8.87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Assessment of recent sassafras (Sassafras albidum) wilt along the northern edge of its range in the Midwest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Couture, John J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National Inst of Food &amp; Agriculture  2022-68013-37139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$999,073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04/15/2022 - 04/14/2026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1.8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Mapping and predicting spread of the invasive Spotted Lanternfly (Lycorma delicatula) at local and landscape scales using satellite data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Service, U.S.  22-JV-11242314-046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$249,999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09/14/2022 - 06/30/2025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3.75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Hardwood Tree Improvement and Regeneration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Service, U.S.  22-CS-11242314-051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$90,000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09/14/2022 - 01/31/2027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4.67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Management of Thousand Cankers Disease in Black Walnut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Service, U.S.  24JV-11330101-037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$528,880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08/01/2024 - 07/31/2029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3.66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Genomic Prediction of Maladaptation and Social Understanding of Reforestation Goals in Species with High Restoration Potential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Animal Plant Health Inspection Service  AP24PPQS&amp;T00C014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$71,246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05/05/2024 - 05/04/2025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Evaluating Two Trap Designs and Visual Surveys for Spotted Lanternfly at Varying Stages of Invasion.</w:t>
            </w:r>
          </w:p>
        </w:tc>
      </w:tr>
    </w:tbl>
    <w:tbl>
      <w:tblPr>
        <w:tblStyle w:val="PlainTable4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NAME(S) OF PRINCIPAL INVESTIGATORS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SUPPORTING AGENCY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TOTAL $ AMOUNT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EFFECTIVE AND EXPIRATION DATES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 xml:space="preserve"> % OF TIME COMMITTED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0" w:val="sing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TITLE OF PROJECT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Pending</w:t>
              <w:br/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4" w:val="doub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right w:sz="0" w:val="single" w:color="#000000" w:space="0"/>
            </w:tcBorders>
            <w:tcBorders>
              <w:top w:sz="4" w:val="single" w:color="#000000" w:space="0"/>
            </w:tcBorders>
            <w:tcBorders>
              <w:bottom w:sz="4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Jacobs, Douglass F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National Science Foundation  19067923-Rev3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$16,000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01/01/2025 - 12/31/2025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Phase III IUCRC Purdue University: Center for Advanced Forestry Systems (CAFS)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Ginzel, Matthew D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Forest Service, U.S.  25025137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$65,000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10/01/2024 - 09/30/2025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12.37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0" w:val="sing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EAB University: Using Web-based Seminars Cooperatively to Provide Information about EAB and other Invasive Forest Health Issues to Targeted Audiences</w:t>
            </w:r>
          </w:p>
        </w:tc>
      </w:tr>
      <w:tr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Couture, John J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North Central IPM Center  FP80003844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$41,399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05/05/2025 - 05/04/2026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4" w:val="sing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type="dxa" w:w="1440"/>
            <w:tcBorders>
              <w:left w:sz="0" w:val="double" w:color="#000000" w:space="0"/>
            </w:tcBorders>
            <w:tcBorders>
              <w:top w:sz="0" w:val="none" w:color="#000000" w:space="0"/>
            </w:tcBorders>
            <w:tcBorders>
              <w:right w:sz="0" w:val="double" w:color="#000000" w:space="0"/>
            </w:tcBorders>
            <w:tcBorders>
              <w:bottom w:sz="4" w:val="double" w:color="#000000" w:space="0"/>
            </w:tcBorders>
          </w:tcPr>
          <w:p>
            <w:pPr>
              <w:spacing w:after="0" w:line="240" w:lineRule="auto"/>
              <w:jc w:val="center"/>
            </w:pPr>
            <w:r>
              <w:t xml:space="preserve">Identifying genotypic and environmental variation in drought tolerance and disease resistance in black walnut for improved breeding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PlainTable4">
    <w:name w:val="Plain Table 4"/>
    <w:pPr>
      <w:spacing w:after="0" w:line="240" w:lineRule="auto"/>
    </w:pPr>
    <w:rPr>
      <w:rFonts w:ascii="Calibri (Body)" w:hAnsi="Calibri (Body)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