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81528" w14:textId="77777777" w:rsidR="00EF6693" w:rsidRDefault="7A09D910">
      <w:pPr>
        <w:rPr>
          <w:rFonts w:ascii="Times New Roman" w:eastAsia="Times New Roman" w:hAnsi="Times New Roman" w:cs="Times New Roman"/>
          <w:b/>
          <w:sz w:val="28"/>
          <w:szCs w:val="28"/>
        </w:rPr>
      </w:pPr>
      <w:r w:rsidRPr="7A09D910">
        <w:rPr>
          <w:rFonts w:ascii="Times New Roman" w:eastAsia="Times New Roman" w:hAnsi="Times New Roman" w:cs="Times New Roman"/>
          <w:b/>
          <w:bCs/>
          <w:sz w:val="28"/>
          <w:szCs w:val="28"/>
        </w:rPr>
        <w:t xml:space="preserve">Measurement of Excavation Pullover Force of Two Year Old </w:t>
      </w:r>
      <w:r w:rsidRPr="7A09D910">
        <w:rPr>
          <w:rFonts w:ascii="Times New Roman" w:eastAsia="Times New Roman" w:hAnsi="Times New Roman" w:cs="Times New Roman"/>
          <w:b/>
          <w:bCs/>
          <w:i/>
          <w:iCs/>
          <w:sz w:val="28"/>
          <w:szCs w:val="28"/>
        </w:rPr>
        <w:t>Citrus sinensis</w:t>
      </w:r>
      <w:r w:rsidRPr="7A09D910">
        <w:rPr>
          <w:rFonts w:ascii="Times New Roman" w:eastAsia="Times New Roman" w:hAnsi="Times New Roman" w:cs="Times New Roman"/>
          <w:b/>
          <w:bCs/>
          <w:sz w:val="28"/>
          <w:szCs w:val="28"/>
        </w:rPr>
        <w:t xml:space="preserve"> Grafted on Rootstocks Propagated by Different Methods</w:t>
      </w:r>
    </w:p>
    <w:p w14:paraId="3EAAAB33" w14:textId="7D0383C8" w:rsidR="00DB0DA5" w:rsidRDefault="007B2CF9" w:rsidP="7A09D91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Firmly Rooted: Effects of Rootstock Propagation Method on Growth and </w:t>
      </w:r>
      <w:r w:rsidR="0045261C">
        <w:rPr>
          <w:rFonts w:ascii="Times New Roman" w:eastAsia="Times New Roman" w:hAnsi="Times New Roman" w:cs="Times New Roman"/>
          <w:b/>
          <w:bCs/>
          <w:sz w:val="28"/>
          <w:szCs w:val="28"/>
        </w:rPr>
        <w:t xml:space="preserve">Pullover Resistance of Two Year Old </w:t>
      </w:r>
      <w:r w:rsidR="00DB0DA5">
        <w:rPr>
          <w:rFonts w:ascii="Times New Roman" w:eastAsia="Times New Roman" w:hAnsi="Times New Roman" w:cs="Times New Roman"/>
          <w:b/>
          <w:bCs/>
          <w:i/>
          <w:iCs/>
          <w:sz w:val="28"/>
          <w:szCs w:val="28"/>
        </w:rPr>
        <w:t>Citrus sinensis</w:t>
      </w:r>
      <w:r w:rsidR="00DB0DA5">
        <w:rPr>
          <w:rFonts w:ascii="Times New Roman" w:eastAsia="Times New Roman" w:hAnsi="Times New Roman" w:cs="Times New Roman"/>
          <w:b/>
          <w:bCs/>
          <w:sz w:val="28"/>
          <w:szCs w:val="28"/>
        </w:rPr>
        <w:t xml:space="preserve"> Trees</w:t>
      </w:r>
    </w:p>
    <w:p w14:paraId="257FDA7C" w14:textId="64918BBD" w:rsidR="7B282331" w:rsidRDefault="7B282331" w:rsidP="7A09D910">
      <w:pPr>
        <w:rPr>
          <w:rFonts w:ascii="Times New Roman" w:eastAsia="Times New Roman" w:hAnsi="Times New Roman" w:cs="Times New Roman"/>
          <w:b/>
          <w:bCs/>
          <w:sz w:val="28"/>
          <w:szCs w:val="28"/>
        </w:rPr>
      </w:pPr>
      <w:r w:rsidRPr="7A09D910">
        <w:rPr>
          <w:rFonts w:ascii="Times New Roman" w:eastAsia="Times New Roman" w:hAnsi="Times New Roman" w:cs="Times New Roman"/>
          <w:b/>
          <w:bCs/>
          <w:sz w:val="28"/>
          <w:szCs w:val="28"/>
        </w:rPr>
        <w:t>Tree Pulling Experiments in Citrus: Effects of Rootstock Propagation Method on Tree Growth and Pullover Resistance.</w:t>
      </w:r>
    </w:p>
    <w:p w14:paraId="672A6659" w14:textId="77777777" w:rsidR="00EF6693" w:rsidRDefault="00EF6693">
      <w:pPr>
        <w:rPr>
          <w:rFonts w:ascii="Times New Roman" w:eastAsia="Times New Roman" w:hAnsi="Times New Roman" w:cs="Times New Roman"/>
          <w:sz w:val="24"/>
          <w:szCs w:val="24"/>
        </w:rPr>
      </w:pPr>
    </w:p>
    <w:p w14:paraId="4AB1D92F" w14:textId="77777777" w:rsidR="00EF6693" w:rsidRDefault="00000000">
      <w:pPr>
        <w:spacing w:after="0" w:line="24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Bo Meyering</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Gabriel Pugina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Caroline Tardivo</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Kim Bowman</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Ute Albrecht</w:t>
      </w:r>
      <w:r>
        <w:rPr>
          <w:rFonts w:ascii="Times New Roman" w:eastAsia="Times New Roman" w:hAnsi="Times New Roman" w:cs="Times New Roman"/>
          <w:sz w:val="24"/>
          <w:szCs w:val="24"/>
          <w:vertAlign w:val="superscript"/>
        </w:rPr>
        <w:t>1*</w:t>
      </w:r>
    </w:p>
    <w:p w14:paraId="74D2984E" w14:textId="77777777" w:rsidR="00EF669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University of Florida, Southwest Research and Education Center, Immokalee, FL</w:t>
      </w:r>
    </w:p>
    <w:p w14:paraId="2704417B" w14:textId="77777777" w:rsidR="00EF669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US Department of Agriculture, Agricultural Research Service, Fort Pierce, FL</w:t>
      </w:r>
    </w:p>
    <w:p w14:paraId="5E2807F4" w14:textId="77777777" w:rsidR="00EF669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Corresponding author</w:t>
      </w:r>
    </w:p>
    <w:p w14:paraId="0A37501D" w14:textId="77777777" w:rsidR="00EF6693" w:rsidRDefault="00EF6693">
      <w:pPr>
        <w:spacing w:after="0" w:line="240" w:lineRule="auto"/>
        <w:rPr>
          <w:rFonts w:ascii="Times New Roman" w:eastAsia="Times New Roman" w:hAnsi="Times New Roman" w:cs="Times New Roman"/>
          <w:sz w:val="24"/>
          <w:szCs w:val="24"/>
        </w:rPr>
      </w:pPr>
    </w:p>
    <w:p w14:paraId="2EF1D053"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Citrus, Rootstocks, Grafting, Tree Excavation</w:t>
      </w:r>
    </w:p>
    <w:p w14:paraId="5DAB6C7B" w14:textId="77777777" w:rsidR="00EF6693" w:rsidRDefault="00EF6693">
      <w:pPr>
        <w:rPr>
          <w:rFonts w:ascii="Times New Roman" w:eastAsia="Times New Roman" w:hAnsi="Times New Roman" w:cs="Times New Roman"/>
          <w:sz w:val="24"/>
          <w:szCs w:val="24"/>
        </w:rPr>
      </w:pPr>
    </w:p>
    <w:p w14:paraId="1D64A6CD" w14:textId="77777777" w:rsidR="00EF669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4DA5D27A" w14:textId="6533F54C" w:rsidR="00EF6693" w:rsidRDefault="7A09D910">
      <w:pPr>
        <w:rPr>
          <w:rFonts w:ascii="Times New Roman" w:eastAsia="Times New Roman" w:hAnsi="Times New Roman" w:cs="Times New Roman"/>
          <w:sz w:val="24"/>
          <w:szCs w:val="24"/>
        </w:rPr>
      </w:pPr>
      <w:r w:rsidRPr="7A09D910">
        <w:rPr>
          <w:rFonts w:ascii="Times New Roman" w:eastAsia="Times New Roman" w:hAnsi="Times New Roman" w:cs="Times New Roman"/>
          <w:sz w:val="24"/>
          <w:szCs w:val="24"/>
        </w:rPr>
        <w:t>Citrus greening, or Huanglongbing (HLB), is a devastating bacterial disease endemic to Florida and most citrus producing regions around the world. In addition to causing premature tree death and reduced fruit quality, HLB severely impacts root health and development, making trees vulnerable to uprooting during hurricanes and other high wind events. Developing rootstock cultivars with both HLB tolerance and stronger root architecture is key to mitigating these issues. Traditional rootstock propagation via seed limits the number of trees that can be produced during the early variety release phase. Alternative propagation methods such as tissue culture micropropagation and vegetative cuttings offer a quicker way to increase available germplasm, however there are concerns that these methods produce inferior root systems compared to seed propagated rootstocks. In this study we evaluated the growth, development, and root system architecture of Valencia trees grafted onto four commercial rootstock varieties propagated by seed, cutting, and micropropagation</w:t>
      </w:r>
      <w:r w:rsidR="3FBFFF5C" w:rsidRPr="7A09D910">
        <w:rPr>
          <w:rFonts w:ascii="Times New Roman" w:eastAsia="Times New Roman" w:hAnsi="Times New Roman" w:cs="Times New Roman"/>
          <w:sz w:val="24"/>
          <w:szCs w:val="24"/>
        </w:rPr>
        <w:t>. We then conducted a tree pulling experiment</w:t>
      </w:r>
      <w:r w:rsidRPr="7A09D910">
        <w:rPr>
          <w:rFonts w:ascii="Times New Roman" w:eastAsia="Times New Roman" w:hAnsi="Times New Roman" w:cs="Times New Roman"/>
          <w:sz w:val="24"/>
          <w:szCs w:val="24"/>
        </w:rPr>
        <w:t xml:space="preserve"> </w:t>
      </w:r>
      <w:r w:rsidR="007A1AF0">
        <w:rPr>
          <w:rFonts w:ascii="Times New Roman" w:eastAsia="Times New Roman" w:hAnsi="Times New Roman" w:cs="Times New Roman"/>
          <w:sz w:val="24"/>
          <w:szCs w:val="24"/>
        </w:rPr>
        <w:t>by extracting the trees with an electric winch and measuring</w:t>
      </w:r>
      <w:r w:rsidRPr="7A09D910">
        <w:rPr>
          <w:rFonts w:ascii="Times New Roman" w:eastAsia="Times New Roman" w:hAnsi="Times New Roman" w:cs="Times New Roman"/>
          <w:sz w:val="24"/>
          <w:szCs w:val="24"/>
        </w:rPr>
        <w:t xml:space="preserve"> the </w:t>
      </w:r>
      <w:r w:rsidR="000F338D">
        <w:rPr>
          <w:rFonts w:ascii="Times New Roman" w:eastAsia="Times New Roman" w:hAnsi="Times New Roman" w:cs="Times New Roman"/>
          <w:sz w:val="24"/>
          <w:szCs w:val="24"/>
        </w:rPr>
        <w:t>maximum turning</w:t>
      </w:r>
      <w:r w:rsidRPr="7A09D910">
        <w:rPr>
          <w:rFonts w:ascii="Times New Roman" w:eastAsia="Times New Roman" w:hAnsi="Times New Roman" w:cs="Times New Roman"/>
          <w:sz w:val="24"/>
          <w:szCs w:val="24"/>
        </w:rPr>
        <w:t xml:space="preserve">. Overall, the propagation method had minimal to no impact on tree growth and root architecture while there were significant differences between rootstock varieties. </w:t>
      </w:r>
      <w:r w:rsidR="00762E2B">
        <w:rPr>
          <w:rFonts w:ascii="Times New Roman" w:eastAsia="Times New Roman" w:hAnsi="Times New Roman" w:cs="Times New Roman"/>
          <w:sz w:val="24"/>
          <w:szCs w:val="24"/>
        </w:rPr>
        <w:t>The maximum turning moment</w:t>
      </w:r>
      <w:r w:rsidRPr="7A09D910">
        <w:rPr>
          <w:rFonts w:ascii="Times New Roman" w:eastAsia="Times New Roman" w:hAnsi="Times New Roman" w:cs="Times New Roman"/>
          <w:sz w:val="24"/>
          <w:szCs w:val="24"/>
        </w:rPr>
        <w:t xml:space="preserve"> was highly correlated to tree growth metrics, but not with root system traits, with significant differences observed between standard rootstocks and dwarfing varieties. In contrast, the propagation method had little effect on the pullover force. These findings suggest that tree size and rootstock variety are the primary factors influencing root system strength, rather than the</w:t>
      </w:r>
      <w:r w:rsidR="00762E2B">
        <w:rPr>
          <w:rFonts w:ascii="Times New Roman" w:eastAsia="Times New Roman" w:hAnsi="Times New Roman" w:cs="Times New Roman"/>
          <w:sz w:val="24"/>
          <w:szCs w:val="24"/>
        </w:rPr>
        <w:t xml:space="preserve"> specific</w:t>
      </w:r>
      <w:r w:rsidRPr="7A09D910">
        <w:rPr>
          <w:rFonts w:ascii="Times New Roman" w:eastAsia="Times New Roman" w:hAnsi="Times New Roman" w:cs="Times New Roman"/>
          <w:sz w:val="24"/>
          <w:szCs w:val="24"/>
        </w:rPr>
        <w:t xml:space="preserve"> propagation method used.</w:t>
      </w:r>
    </w:p>
    <w:p w14:paraId="02EB378F" w14:textId="77777777" w:rsidR="00EF6693" w:rsidRDefault="00EF6693">
      <w:pPr>
        <w:rPr>
          <w:rFonts w:ascii="Times New Roman" w:eastAsia="Times New Roman" w:hAnsi="Times New Roman" w:cs="Times New Roman"/>
          <w:sz w:val="24"/>
          <w:szCs w:val="24"/>
        </w:rPr>
      </w:pPr>
    </w:p>
    <w:p w14:paraId="6A05A809" w14:textId="77777777" w:rsidR="00EF6693" w:rsidRDefault="00000000">
      <w:pPr>
        <w:rPr>
          <w:rFonts w:ascii="Times New Roman" w:eastAsia="Times New Roman" w:hAnsi="Times New Roman" w:cs="Times New Roman"/>
          <w:color w:val="2F5496" w:themeColor="accent1" w:themeShade="BF"/>
          <w:sz w:val="24"/>
          <w:szCs w:val="24"/>
        </w:rPr>
      </w:pPr>
      <w:r>
        <w:br w:type="page"/>
      </w:r>
    </w:p>
    <w:p w14:paraId="199F880D" w14:textId="699C6A00" w:rsidR="00404619" w:rsidRDefault="00000000" w:rsidP="00CB6AC0">
      <w:pPr>
        <w:pStyle w:val="Heading1"/>
        <w:keepNext w:val="0"/>
        <w:keepLines w:val="0"/>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Introduction</w:t>
      </w:r>
    </w:p>
    <w:p w14:paraId="388F5A39" w14:textId="30B3BF30" w:rsidR="00404619" w:rsidRPr="00404619" w:rsidRDefault="00404619" w:rsidP="00404619">
      <w:pPr>
        <w:spacing w:line="240" w:lineRule="auto"/>
        <w:ind w:firstLine="720"/>
        <w:rPr>
          <w:rFonts w:ascii="Times New Roman" w:eastAsia="Times New Roman" w:hAnsi="Times New Roman" w:cs="Times New Roman"/>
          <w:sz w:val="24"/>
          <w:szCs w:val="24"/>
        </w:rPr>
      </w:pPr>
      <w:r w:rsidRPr="00404619">
        <w:rPr>
          <w:rFonts w:ascii="Times New Roman" w:eastAsia="Times New Roman" w:hAnsi="Times New Roman" w:cs="Times New Roman"/>
          <w:sz w:val="24"/>
          <w:szCs w:val="24"/>
        </w:rPr>
        <w:t xml:space="preserve">Florida’s citrus industry is of immense economic, cultural, and agricultural importance, contributing billions to the state economy and supporting </w:t>
      </w:r>
      <w:r w:rsidR="003C3A27">
        <w:rPr>
          <w:rFonts w:ascii="Times New Roman" w:eastAsia="Times New Roman" w:hAnsi="Times New Roman" w:cs="Times New Roman"/>
          <w:sz w:val="24"/>
          <w:szCs w:val="24"/>
        </w:rPr>
        <w:t>local communities</w:t>
      </w:r>
      <w:r w:rsidRPr="00404619">
        <w:rPr>
          <w:rFonts w:ascii="Times New Roman" w:eastAsia="Times New Roman" w:hAnsi="Times New Roman" w:cs="Times New Roman"/>
          <w:sz w:val="24"/>
          <w:szCs w:val="24"/>
        </w:rPr>
        <w:t xml:space="preserve">. However, in recent decades, citrus growers in Florida have faced unprecedented challenges from the combined impact of Huanglongbing (HLB, or citrus greening disease) and increasingly frequent and severe hurricanes. HLB, caused by </w:t>
      </w:r>
      <w:r w:rsidRPr="00404619">
        <w:rPr>
          <w:rFonts w:ascii="Times New Roman" w:eastAsia="Times New Roman" w:hAnsi="Times New Roman" w:cs="Times New Roman"/>
          <w:i/>
          <w:iCs/>
          <w:sz w:val="24"/>
          <w:szCs w:val="24"/>
        </w:rPr>
        <w:t xml:space="preserve">Candidatus </w:t>
      </w:r>
      <w:proofErr w:type="spellStart"/>
      <w:r w:rsidRPr="00404619">
        <w:rPr>
          <w:rFonts w:ascii="Times New Roman" w:eastAsia="Times New Roman" w:hAnsi="Times New Roman" w:cs="Times New Roman"/>
          <w:i/>
          <w:iCs/>
          <w:sz w:val="24"/>
          <w:szCs w:val="24"/>
        </w:rPr>
        <w:t>Liberibacter</w:t>
      </w:r>
      <w:proofErr w:type="spellEnd"/>
      <w:r w:rsidRPr="00404619">
        <w:rPr>
          <w:rFonts w:ascii="Times New Roman" w:eastAsia="Times New Roman" w:hAnsi="Times New Roman" w:cs="Times New Roman"/>
          <w:i/>
          <w:iCs/>
          <w:sz w:val="24"/>
          <w:szCs w:val="24"/>
        </w:rPr>
        <w:t xml:space="preserve"> asiaticus</w:t>
      </w:r>
      <w:r w:rsidRPr="00404619">
        <w:rPr>
          <w:rFonts w:ascii="Times New Roman" w:eastAsia="Times New Roman" w:hAnsi="Times New Roman" w:cs="Times New Roman"/>
          <w:sz w:val="24"/>
          <w:szCs w:val="24"/>
        </w:rPr>
        <w:t xml:space="preserve"> (</w:t>
      </w:r>
      <w:proofErr w:type="spellStart"/>
      <w:r w:rsidRPr="00404619">
        <w:rPr>
          <w:rFonts w:ascii="Times New Roman" w:eastAsia="Times New Roman" w:hAnsi="Times New Roman" w:cs="Times New Roman"/>
          <w:sz w:val="24"/>
          <w:szCs w:val="24"/>
        </w:rPr>
        <w:t>CLas</w:t>
      </w:r>
      <w:proofErr w:type="spellEnd"/>
      <w:r w:rsidRPr="00404619">
        <w:rPr>
          <w:rFonts w:ascii="Times New Roman" w:eastAsia="Times New Roman" w:hAnsi="Times New Roman" w:cs="Times New Roman"/>
          <w:sz w:val="24"/>
          <w:szCs w:val="24"/>
        </w:rPr>
        <w:t>) and transmitted by the Asian citrus psyllid (</w:t>
      </w:r>
      <w:proofErr w:type="spellStart"/>
      <w:r w:rsidRPr="00404619">
        <w:rPr>
          <w:rFonts w:ascii="Times New Roman" w:eastAsia="Times New Roman" w:hAnsi="Times New Roman" w:cs="Times New Roman"/>
          <w:i/>
          <w:iCs/>
          <w:sz w:val="24"/>
          <w:szCs w:val="24"/>
        </w:rPr>
        <w:t>Diaphorina</w:t>
      </w:r>
      <w:proofErr w:type="spellEnd"/>
      <w:r w:rsidRPr="00404619">
        <w:rPr>
          <w:rFonts w:ascii="Times New Roman" w:eastAsia="Times New Roman" w:hAnsi="Times New Roman" w:cs="Times New Roman"/>
          <w:i/>
          <w:iCs/>
          <w:sz w:val="24"/>
          <w:szCs w:val="24"/>
        </w:rPr>
        <w:t xml:space="preserve"> citri</w:t>
      </w:r>
      <w:r w:rsidRPr="00404619">
        <w:rPr>
          <w:rFonts w:ascii="Times New Roman" w:eastAsia="Times New Roman" w:hAnsi="Times New Roman" w:cs="Times New Roman"/>
          <w:sz w:val="24"/>
          <w:szCs w:val="24"/>
        </w:rPr>
        <w:t>), was first detected in Florida in 2005 (Halbert and Manjunath, 2004; Gottwald et al., 2007). The disease spread rapidly and became endemic by 2013 (Graham et al., 2020), resulting in widespread tree decline, reduced yields, and severely compromised root health (Bové, 2006; da Graça et al., 2015). Within just a decade, citrus production in Florida plummeted from 174.6 million boxes (2005–2006) to 49.58 million boxes (2017–2018), a staggering 71.6% decline (USDA-NASS, 2019). The downward trend has continued, with orange production forecast at just 2.2 million metric tons for the 2024–25 season—the lowest in 88 years—due to the compounding effects of HLB, hurricanes, and freezes (USDA-NASS, 2025).</w:t>
      </w:r>
    </w:p>
    <w:p w14:paraId="6FBB2A63" w14:textId="3289DDEA" w:rsidR="00404619" w:rsidRDefault="00404619" w:rsidP="00CB6AC0">
      <w:pPr>
        <w:spacing w:line="240" w:lineRule="auto"/>
        <w:ind w:firstLine="720"/>
        <w:rPr>
          <w:rFonts w:ascii="Times New Roman" w:eastAsia="Times New Roman" w:hAnsi="Times New Roman" w:cs="Times New Roman"/>
          <w:sz w:val="24"/>
          <w:szCs w:val="24"/>
        </w:rPr>
      </w:pPr>
      <w:r w:rsidRPr="00404619">
        <w:rPr>
          <w:rFonts w:ascii="Times New Roman" w:eastAsia="Times New Roman" w:hAnsi="Times New Roman" w:cs="Times New Roman"/>
          <w:sz w:val="24"/>
          <w:szCs w:val="24"/>
        </w:rPr>
        <w:t>In addition to disease pressure, hurricanes pose a direct and escalating physical threat to citrus orchards. Florida’s location makes it highly vulnerable to tropical storms, which can cause tree uprooting, trunk breakage, and canopy loss. Recent storms, such as Hurricane Ian (2022) and Hurricane Milton (2024), further devastated groves, reducing production to less than 16 million boxes—the lowest since 1935 (Florida Department of Citrus, 2022; Tampa Bay Times, 2023; Citrus Industry, 2024). The economic toll is staggering: in 2022 alone, Hurricanes Ian and Nicole caused over $4 billion in agricultural losses statewide (Florida Politics, 2023). According to NOAA, hurricanes have cost the U.S. more than $1.3 trillion since 1980, with Florida consistently among the hardest-hit states (NOAA, 2023). For citrus growers, the consequences extend beyond immediate fruit loss. High winds and saturated soils compromise root anchorage (</w:t>
      </w:r>
      <w:proofErr w:type="spellStart"/>
      <w:r w:rsidRPr="00404619">
        <w:rPr>
          <w:rFonts w:ascii="Times New Roman" w:eastAsia="Times New Roman" w:hAnsi="Times New Roman" w:cs="Times New Roman"/>
          <w:sz w:val="24"/>
          <w:szCs w:val="24"/>
        </w:rPr>
        <w:t>Albrigo</w:t>
      </w:r>
      <w:proofErr w:type="spellEnd"/>
      <w:r w:rsidRPr="00404619">
        <w:rPr>
          <w:rFonts w:ascii="Times New Roman" w:eastAsia="Times New Roman" w:hAnsi="Times New Roman" w:cs="Times New Roman"/>
          <w:sz w:val="24"/>
          <w:szCs w:val="24"/>
        </w:rPr>
        <w:t xml:space="preserve"> et al., 2005), and weakened root systems due to HLB may significantly increase the risk of tree mortality during storm events.</w:t>
      </w:r>
    </w:p>
    <w:p w14:paraId="70EC9C6E" w14:textId="77777777" w:rsidR="00EF6693"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Previous research has demonstrated that rootstocks are pivotal in shaping disease tolerance and the structural development of trees and their anchoring capacity. Rootstocks influence root system architecture, biomass distribution, and overall vigor, which are fundamental for stability under adverse conditions (Albrecht et al., 2020; </w:t>
      </w:r>
      <w:proofErr w:type="spellStart"/>
      <w:r>
        <w:rPr>
          <w:rFonts w:ascii="Times New Roman" w:eastAsia="Times New Roman" w:hAnsi="Times New Roman" w:cs="Times New Roman"/>
          <w:sz w:val="24"/>
          <w:szCs w:val="24"/>
        </w:rPr>
        <w:t>Boava</w:t>
      </w:r>
      <w:proofErr w:type="spellEnd"/>
      <w:r>
        <w:rPr>
          <w:rFonts w:ascii="Times New Roman" w:eastAsia="Times New Roman" w:hAnsi="Times New Roman" w:cs="Times New Roman"/>
          <w:sz w:val="24"/>
          <w:szCs w:val="24"/>
        </w:rPr>
        <w:t xml:space="preserve"> et al., 2014; Bowman and Joubert 2020; </w:t>
      </w:r>
      <w:proofErr w:type="spellStart"/>
      <w:r>
        <w:rPr>
          <w:rFonts w:ascii="Times New Roman" w:eastAsia="Times New Roman" w:hAnsi="Times New Roman" w:cs="Times New Roman"/>
          <w:sz w:val="24"/>
          <w:szCs w:val="24"/>
        </w:rPr>
        <w:t>Eissenstat</w:t>
      </w:r>
      <w:proofErr w:type="spellEnd"/>
      <w:r>
        <w:rPr>
          <w:rFonts w:ascii="Times New Roman" w:eastAsia="Times New Roman" w:hAnsi="Times New Roman" w:cs="Times New Roman"/>
          <w:sz w:val="24"/>
          <w:szCs w:val="24"/>
        </w:rPr>
        <w:t xml:space="preserve"> 1991). Characteristics such as root depth, lateral spread, density, and symmetry may help to determine how well a tree anchors in the soil, particularly in hurricane-prone regions where strong winds test structural resilience.</w:t>
      </w:r>
    </w:p>
    <w:p w14:paraId="6EF4DECE" w14:textId="1F56E7FC" w:rsidR="00EF6693" w:rsidRDefault="00944374" w:rsidP="7A09D91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Selecting </w:t>
      </w:r>
      <w:r w:rsidR="00761000">
        <w:rPr>
          <w:rFonts w:ascii="Times New Roman" w:eastAsia="Times New Roman" w:hAnsi="Times New Roman" w:cs="Times New Roman"/>
          <w:sz w:val="24"/>
          <w:szCs w:val="24"/>
        </w:rPr>
        <w:t xml:space="preserve">HLB resistant rootstocks </w:t>
      </w:r>
      <w:r>
        <w:rPr>
          <w:rFonts w:ascii="Times New Roman" w:eastAsia="Times New Roman" w:hAnsi="Times New Roman" w:cs="Times New Roman"/>
          <w:sz w:val="24"/>
          <w:szCs w:val="24"/>
        </w:rPr>
        <w:t>is pivotal</w:t>
      </w:r>
      <w:r w:rsidR="00B6578F">
        <w:rPr>
          <w:rFonts w:ascii="Times New Roman" w:eastAsia="Times New Roman" w:hAnsi="Times New Roman" w:cs="Times New Roman"/>
          <w:sz w:val="24"/>
          <w:szCs w:val="24"/>
        </w:rPr>
        <w:t xml:space="preserve"> as</w:t>
      </w:r>
      <w:r w:rsidR="00761000">
        <w:rPr>
          <w:rFonts w:ascii="Times New Roman" w:eastAsia="Times New Roman" w:hAnsi="Times New Roman" w:cs="Times New Roman"/>
          <w:sz w:val="24"/>
          <w:szCs w:val="24"/>
        </w:rPr>
        <w:t xml:space="preserve"> this disease </w:t>
      </w:r>
      <w:r w:rsidR="004754ED">
        <w:rPr>
          <w:rFonts w:ascii="Times New Roman" w:eastAsia="Times New Roman" w:hAnsi="Times New Roman" w:cs="Times New Roman"/>
          <w:sz w:val="24"/>
          <w:szCs w:val="24"/>
        </w:rPr>
        <w:t>impacts root system integrity</w:t>
      </w:r>
      <w:r w:rsidR="004A0DC6">
        <w:rPr>
          <w:rFonts w:ascii="Times New Roman" w:eastAsia="Times New Roman" w:hAnsi="Times New Roman" w:cs="Times New Roman"/>
          <w:sz w:val="24"/>
          <w:szCs w:val="24"/>
        </w:rPr>
        <w:t xml:space="preserve"> thus weakening the tree’s anchorage capacity </w:t>
      </w:r>
      <w:r w:rsidR="7A09D910" w:rsidRPr="7A09D910">
        <w:rPr>
          <w:rFonts w:ascii="Times New Roman" w:eastAsia="Times New Roman" w:hAnsi="Times New Roman" w:cs="Times New Roman"/>
          <w:sz w:val="24"/>
          <w:szCs w:val="24"/>
        </w:rPr>
        <w:t xml:space="preserve">(Johnson et al., 2014; </w:t>
      </w:r>
      <w:proofErr w:type="spellStart"/>
      <w:r w:rsidR="7A09D910" w:rsidRPr="7A09D910">
        <w:rPr>
          <w:rFonts w:ascii="Times New Roman" w:eastAsia="Times New Roman" w:hAnsi="Times New Roman" w:cs="Times New Roman"/>
          <w:sz w:val="24"/>
          <w:szCs w:val="24"/>
        </w:rPr>
        <w:t>Tardivo</w:t>
      </w:r>
      <w:proofErr w:type="spellEnd"/>
      <w:r w:rsidR="7A09D910" w:rsidRPr="7A09D910">
        <w:rPr>
          <w:rFonts w:ascii="Times New Roman" w:eastAsia="Times New Roman" w:hAnsi="Times New Roman" w:cs="Times New Roman"/>
          <w:sz w:val="24"/>
          <w:szCs w:val="24"/>
        </w:rPr>
        <w:t xml:space="preserve"> et al., 2024). Recentl</w:t>
      </w:r>
      <w:r w:rsidR="00750F82">
        <w:rPr>
          <w:rFonts w:ascii="Times New Roman" w:eastAsia="Times New Roman" w:hAnsi="Times New Roman" w:cs="Times New Roman"/>
          <w:sz w:val="24"/>
          <w:szCs w:val="24"/>
        </w:rPr>
        <w:t>y</w:t>
      </w:r>
      <w:r w:rsidR="7A09D910" w:rsidRPr="7A09D910">
        <w:rPr>
          <w:rFonts w:ascii="Times New Roman" w:eastAsia="Times New Roman" w:hAnsi="Times New Roman" w:cs="Times New Roman"/>
          <w:sz w:val="24"/>
          <w:szCs w:val="24"/>
        </w:rPr>
        <w:t>,</w:t>
      </w:r>
      <w:r w:rsidR="006E42A8">
        <w:rPr>
          <w:rFonts w:ascii="Times New Roman" w:eastAsia="Times New Roman" w:hAnsi="Times New Roman" w:cs="Times New Roman"/>
          <w:sz w:val="24"/>
          <w:szCs w:val="24"/>
        </w:rPr>
        <w:t xml:space="preserve"> Albrecht et al (2020) and</w:t>
      </w:r>
      <w:r w:rsidR="7A09D910" w:rsidRPr="7A09D910">
        <w:rPr>
          <w:rFonts w:ascii="Times New Roman" w:eastAsia="Times New Roman" w:hAnsi="Times New Roman" w:cs="Times New Roman"/>
          <w:sz w:val="24"/>
          <w:szCs w:val="24"/>
        </w:rPr>
        <w:t xml:space="preserve"> Pokhrel et al. (2021) investigated horticultural attributes and root system architectures </w:t>
      </w:r>
      <w:r w:rsidR="004A0DC6">
        <w:rPr>
          <w:rFonts w:ascii="Times New Roman" w:eastAsia="Times New Roman" w:hAnsi="Times New Roman" w:cs="Times New Roman"/>
          <w:sz w:val="24"/>
          <w:szCs w:val="24"/>
        </w:rPr>
        <w:t xml:space="preserve">(RSA) </w:t>
      </w:r>
      <w:r w:rsidR="7A09D910" w:rsidRPr="7A09D910">
        <w:rPr>
          <w:rFonts w:ascii="Times New Roman" w:eastAsia="Times New Roman" w:hAnsi="Times New Roman" w:cs="Times New Roman"/>
          <w:sz w:val="24"/>
          <w:szCs w:val="24"/>
        </w:rPr>
        <w:t>of field-grown ‘Valencia’ orange trees grafted on multiple rootstocks and propagated by seed, cuttings, and tissue culture. Th</w:t>
      </w:r>
      <w:r w:rsidR="006E42A8">
        <w:rPr>
          <w:rFonts w:ascii="Times New Roman" w:eastAsia="Times New Roman" w:hAnsi="Times New Roman" w:cs="Times New Roman"/>
          <w:sz w:val="24"/>
          <w:szCs w:val="24"/>
        </w:rPr>
        <w:t>ese</w:t>
      </w:r>
      <w:r w:rsidR="7A09D910" w:rsidRPr="7A09D910">
        <w:rPr>
          <w:rFonts w:ascii="Times New Roman" w:eastAsia="Times New Roman" w:hAnsi="Times New Roman" w:cs="Times New Roman"/>
          <w:sz w:val="24"/>
          <w:szCs w:val="24"/>
        </w:rPr>
        <w:t xml:space="preserve"> stud</w:t>
      </w:r>
      <w:r w:rsidR="006E42A8">
        <w:rPr>
          <w:rFonts w:ascii="Times New Roman" w:eastAsia="Times New Roman" w:hAnsi="Times New Roman" w:cs="Times New Roman"/>
          <w:sz w:val="24"/>
          <w:szCs w:val="24"/>
        </w:rPr>
        <w:t>ies</w:t>
      </w:r>
      <w:r w:rsidR="7A09D910" w:rsidRPr="7A09D910">
        <w:rPr>
          <w:rFonts w:ascii="Times New Roman" w:eastAsia="Times New Roman" w:hAnsi="Times New Roman" w:cs="Times New Roman"/>
          <w:sz w:val="24"/>
          <w:szCs w:val="24"/>
        </w:rPr>
        <w:t xml:space="preserve"> confirmed that </w:t>
      </w:r>
      <w:r w:rsidR="006E42A8">
        <w:rPr>
          <w:rFonts w:ascii="Times New Roman" w:eastAsia="Times New Roman" w:hAnsi="Times New Roman" w:cs="Times New Roman"/>
          <w:sz w:val="24"/>
          <w:szCs w:val="24"/>
        </w:rPr>
        <w:t>while RSA is influenced</w:t>
      </w:r>
      <w:r w:rsidR="00F7612D">
        <w:rPr>
          <w:rFonts w:ascii="Times New Roman" w:eastAsia="Times New Roman" w:hAnsi="Times New Roman" w:cs="Times New Roman"/>
          <w:sz w:val="24"/>
          <w:szCs w:val="24"/>
        </w:rPr>
        <w:t xml:space="preserve"> by</w:t>
      </w:r>
      <w:r w:rsidR="003919E2">
        <w:rPr>
          <w:rFonts w:ascii="Times New Roman" w:eastAsia="Times New Roman" w:hAnsi="Times New Roman" w:cs="Times New Roman"/>
          <w:sz w:val="24"/>
          <w:szCs w:val="24"/>
        </w:rPr>
        <w:t xml:space="preserve"> the propagation method, </w:t>
      </w:r>
      <w:r w:rsidR="001A312C">
        <w:rPr>
          <w:rFonts w:ascii="Times New Roman" w:eastAsia="Times New Roman" w:hAnsi="Times New Roman" w:cs="Times New Roman"/>
          <w:sz w:val="24"/>
          <w:szCs w:val="24"/>
        </w:rPr>
        <w:t xml:space="preserve">it </w:t>
      </w:r>
      <w:r w:rsidR="3DDDE9E7" w:rsidRPr="7A09D910">
        <w:rPr>
          <w:rFonts w:ascii="Times New Roman" w:eastAsia="Times New Roman" w:hAnsi="Times New Roman" w:cs="Times New Roman"/>
          <w:sz w:val="24"/>
          <w:szCs w:val="24"/>
        </w:rPr>
        <w:t xml:space="preserve">is mainly the </w:t>
      </w:r>
      <w:r w:rsidR="7A09D910" w:rsidRPr="7A09D910">
        <w:rPr>
          <w:rFonts w:ascii="Times New Roman" w:eastAsia="Times New Roman" w:hAnsi="Times New Roman" w:cs="Times New Roman"/>
          <w:sz w:val="24"/>
          <w:szCs w:val="24"/>
        </w:rPr>
        <w:t xml:space="preserve">rootstock </w:t>
      </w:r>
      <w:r w:rsidR="3364C5DE" w:rsidRPr="7A09D910">
        <w:rPr>
          <w:rFonts w:ascii="Times New Roman" w:eastAsia="Times New Roman" w:hAnsi="Times New Roman" w:cs="Times New Roman"/>
          <w:sz w:val="24"/>
          <w:szCs w:val="24"/>
        </w:rPr>
        <w:t>variety</w:t>
      </w:r>
      <w:r w:rsidR="005259EA">
        <w:rPr>
          <w:rFonts w:ascii="Times New Roman" w:eastAsia="Times New Roman" w:hAnsi="Times New Roman" w:cs="Times New Roman"/>
          <w:sz w:val="24"/>
          <w:szCs w:val="24"/>
        </w:rPr>
        <w:t xml:space="preserve"> </w:t>
      </w:r>
      <w:r w:rsidR="3AD95236" w:rsidRPr="7A09D910">
        <w:rPr>
          <w:rFonts w:ascii="Times New Roman" w:eastAsia="Times New Roman" w:hAnsi="Times New Roman" w:cs="Times New Roman"/>
          <w:sz w:val="24"/>
          <w:szCs w:val="24"/>
        </w:rPr>
        <w:t>which</w:t>
      </w:r>
      <w:r w:rsidR="7A09D910" w:rsidRPr="7A09D910">
        <w:rPr>
          <w:rFonts w:ascii="Times New Roman" w:eastAsia="Times New Roman" w:hAnsi="Times New Roman" w:cs="Times New Roman"/>
          <w:sz w:val="24"/>
          <w:szCs w:val="24"/>
        </w:rPr>
        <w:t xml:space="preserve"> influence</w:t>
      </w:r>
      <w:r w:rsidR="551F051D" w:rsidRPr="7A09D910">
        <w:rPr>
          <w:rFonts w:ascii="Times New Roman" w:eastAsia="Times New Roman" w:hAnsi="Times New Roman" w:cs="Times New Roman"/>
          <w:sz w:val="24"/>
          <w:szCs w:val="24"/>
        </w:rPr>
        <w:t>s</w:t>
      </w:r>
      <w:r w:rsidR="7A09D910" w:rsidRPr="7A09D910">
        <w:rPr>
          <w:rFonts w:ascii="Times New Roman" w:eastAsia="Times New Roman" w:hAnsi="Times New Roman" w:cs="Times New Roman"/>
          <w:sz w:val="24"/>
          <w:szCs w:val="24"/>
        </w:rPr>
        <w:t xml:space="preserve"> tree vigor and root morphology. These structural differences can influence mechanical stability and may contribute to how well trees withstand high winds and saturated </w:t>
      </w:r>
      <w:r w:rsidR="00443AE1" w:rsidRPr="7A09D910">
        <w:rPr>
          <w:rFonts w:ascii="Times New Roman" w:eastAsia="Times New Roman" w:hAnsi="Times New Roman" w:cs="Times New Roman"/>
          <w:sz w:val="24"/>
          <w:szCs w:val="24"/>
        </w:rPr>
        <w:t>soil</w:t>
      </w:r>
      <w:r w:rsidR="7A09D910" w:rsidRPr="7A09D910">
        <w:rPr>
          <w:rFonts w:ascii="Times New Roman" w:eastAsia="Times New Roman" w:hAnsi="Times New Roman" w:cs="Times New Roman"/>
          <w:sz w:val="24"/>
          <w:szCs w:val="24"/>
        </w:rPr>
        <w:t xml:space="preserve"> during storms.</w:t>
      </w:r>
    </w:p>
    <w:p w14:paraId="67AA4CC9" w14:textId="76ADBFA3" w:rsidR="004D131B" w:rsidRDefault="007F304E" w:rsidP="007B5AD6">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Citrus</w:t>
      </w:r>
      <w:r w:rsidR="002A57F4">
        <w:rPr>
          <w:rFonts w:ascii="Times New Roman" w:eastAsia="Times New Roman" w:hAnsi="Times New Roman" w:cs="Times New Roman"/>
          <w:sz w:val="24"/>
          <w:szCs w:val="24"/>
        </w:rPr>
        <w:t xml:space="preserve"> tree</w:t>
      </w:r>
      <w:r>
        <w:rPr>
          <w:rFonts w:ascii="Times New Roman" w:eastAsia="Times New Roman" w:hAnsi="Times New Roman" w:cs="Times New Roman"/>
          <w:sz w:val="24"/>
          <w:szCs w:val="24"/>
        </w:rPr>
        <w:t xml:space="preserve"> root </w:t>
      </w:r>
      <w:r w:rsidR="00FE72E1">
        <w:rPr>
          <w:rFonts w:ascii="Times New Roman" w:eastAsia="Times New Roman" w:hAnsi="Times New Roman" w:cs="Times New Roman"/>
          <w:sz w:val="24"/>
          <w:szCs w:val="24"/>
        </w:rPr>
        <w:t>system architecture</w:t>
      </w:r>
      <w:r w:rsidR="002A57F4">
        <w:rPr>
          <w:rFonts w:ascii="Times New Roman" w:eastAsia="Times New Roman" w:hAnsi="Times New Roman" w:cs="Times New Roman"/>
          <w:sz w:val="24"/>
          <w:szCs w:val="24"/>
        </w:rPr>
        <w:t>s</w:t>
      </w:r>
      <w:r w:rsidR="00FE72E1">
        <w:rPr>
          <w:rFonts w:ascii="Times New Roman" w:eastAsia="Times New Roman" w:hAnsi="Times New Roman" w:cs="Times New Roman"/>
          <w:sz w:val="24"/>
          <w:szCs w:val="24"/>
        </w:rPr>
        <w:t xml:space="preserve"> (RSA) </w:t>
      </w:r>
      <w:r w:rsidR="00AA57FF">
        <w:rPr>
          <w:rFonts w:ascii="Times New Roman" w:eastAsia="Times New Roman" w:hAnsi="Times New Roman" w:cs="Times New Roman"/>
          <w:sz w:val="24"/>
          <w:szCs w:val="24"/>
        </w:rPr>
        <w:t xml:space="preserve">for large lateral roots </w:t>
      </w:r>
      <w:r w:rsidR="00FE72E1">
        <w:rPr>
          <w:rFonts w:ascii="Times New Roman" w:eastAsia="Times New Roman" w:hAnsi="Times New Roman" w:cs="Times New Roman"/>
          <w:sz w:val="24"/>
          <w:szCs w:val="24"/>
        </w:rPr>
        <w:t>ha</w:t>
      </w:r>
      <w:r w:rsidR="002A57F4">
        <w:rPr>
          <w:rFonts w:ascii="Times New Roman" w:eastAsia="Times New Roman" w:hAnsi="Times New Roman" w:cs="Times New Roman"/>
          <w:sz w:val="24"/>
          <w:szCs w:val="24"/>
        </w:rPr>
        <w:t>ve</w:t>
      </w:r>
      <w:r w:rsidR="00FE72E1">
        <w:rPr>
          <w:rFonts w:ascii="Times New Roman" w:eastAsia="Times New Roman" w:hAnsi="Times New Roman" w:cs="Times New Roman"/>
          <w:sz w:val="24"/>
          <w:szCs w:val="24"/>
        </w:rPr>
        <w:t xml:space="preserve"> been mapped using ground penetrating radar</w:t>
      </w:r>
      <w:r w:rsidR="002A57F4">
        <w:rPr>
          <w:rFonts w:ascii="Times New Roman" w:eastAsia="Times New Roman" w:hAnsi="Times New Roman" w:cs="Times New Roman"/>
          <w:sz w:val="24"/>
          <w:szCs w:val="24"/>
        </w:rPr>
        <w:t xml:space="preserve"> under </w:t>
      </w:r>
      <w:r w:rsidR="009C15B4">
        <w:rPr>
          <w:rFonts w:ascii="Times New Roman" w:eastAsia="Times New Roman" w:hAnsi="Times New Roman" w:cs="Times New Roman"/>
          <w:sz w:val="24"/>
          <w:szCs w:val="24"/>
        </w:rPr>
        <w:t xml:space="preserve">certain conditions </w:t>
      </w:r>
      <w:r w:rsidR="00AA57FF">
        <w:rPr>
          <w:rFonts w:ascii="Times New Roman" w:eastAsia="Times New Roman" w:hAnsi="Times New Roman" w:cs="Times New Roman"/>
          <w:sz w:val="24"/>
          <w:szCs w:val="24"/>
        </w:rPr>
        <w:t xml:space="preserve">with limited success </w:t>
      </w:r>
      <w:r w:rsidR="009C15B4">
        <w:rPr>
          <w:rFonts w:ascii="Times New Roman" w:eastAsia="Times New Roman" w:hAnsi="Times New Roman" w:cs="Times New Roman"/>
          <w:sz w:val="24"/>
          <w:szCs w:val="24"/>
        </w:rPr>
        <w:t>(</w:t>
      </w:r>
      <w:r w:rsidR="00AA57FF">
        <w:rPr>
          <w:rFonts w:ascii="Times New Roman" w:eastAsia="Times New Roman" w:hAnsi="Times New Roman" w:cs="Times New Roman"/>
          <w:sz w:val="24"/>
          <w:szCs w:val="24"/>
        </w:rPr>
        <w:t xml:space="preserve">Freeland 2015, </w:t>
      </w:r>
      <w:r w:rsidR="009C15B4">
        <w:rPr>
          <w:rFonts w:ascii="Times New Roman" w:eastAsia="Times New Roman" w:hAnsi="Times New Roman" w:cs="Times New Roman"/>
          <w:sz w:val="24"/>
          <w:szCs w:val="24"/>
        </w:rPr>
        <w:t>Zhang 2019</w:t>
      </w:r>
      <w:r w:rsidR="00AA57FF">
        <w:rPr>
          <w:rFonts w:ascii="Times New Roman" w:eastAsia="Times New Roman" w:hAnsi="Times New Roman" w:cs="Times New Roman"/>
          <w:sz w:val="24"/>
          <w:szCs w:val="24"/>
        </w:rPr>
        <w:t xml:space="preserve">). However, the </w:t>
      </w:r>
      <w:r w:rsidR="00040A15">
        <w:rPr>
          <w:rFonts w:ascii="Times New Roman" w:eastAsia="Times New Roman" w:hAnsi="Times New Roman" w:cs="Times New Roman"/>
          <w:sz w:val="24"/>
          <w:szCs w:val="24"/>
        </w:rPr>
        <w:t>most effective way to study RSA</w:t>
      </w:r>
      <w:r w:rsidR="00B77674">
        <w:rPr>
          <w:rFonts w:ascii="Times New Roman" w:eastAsia="Times New Roman" w:hAnsi="Times New Roman" w:cs="Times New Roman"/>
          <w:sz w:val="24"/>
          <w:szCs w:val="24"/>
        </w:rPr>
        <w:t xml:space="preserve"> remains</w:t>
      </w:r>
      <w:r w:rsidR="00203C12">
        <w:rPr>
          <w:rFonts w:ascii="Times New Roman" w:eastAsia="Times New Roman" w:hAnsi="Times New Roman" w:cs="Times New Roman"/>
          <w:sz w:val="24"/>
          <w:szCs w:val="24"/>
        </w:rPr>
        <w:t xml:space="preserve"> complete excavation of the root system.</w:t>
      </w:r>
      <w:r w:rsidR="009C15B4">
        <w:rPr>
          <w:rFonts w:ascii="Times New Roman" w:eastAsia="Times New Roman" w:hAnsi="Times New Roman" w:cs="Times New Roman"/>
          <w:sz w:val="24"/>
          <w:szCs w:val="24"/>
        </w:rPr>
        <w:t xml:space="preserve"> </w:t>
      </w:r>
      <w:r w:rsidR="0ADF6B4E" w:rsidRPr="7A09D910">
        <w:rPr>
          <w:rFonts w:ascii="Times New Roman" w:eastAsia="Times New Roman" w:hAnsi="Times New Roman" w:cs="Times New Roman"/>
          <w:sz w:val="24"/>
          <w:szCs w:val="24"/>
        </w:rPr>
        <w:t xml:space="preserve">Tree </w:t>
      </w:r>
      <w:r w:rsidR="0001052C">
        <w:rPr>
          <w:rFonts w:ascii="Times New Roman" w:eastAsia="Times New Roman" w:hAnsi="Times New Roman" w:cs="Times New Roman"/>
          <w:sz w:val="24"/>
          <w:szCs w:val="24"/>
        </w:rPr>
        <w:t>topplin</w:t>
      </w:r>
      <w:r w:rsidR="0ADF6B4E" w:rsidRPr="7A09D910">
        <w:rPr>
          <w:rFonts w:ascii="Times New Roman" w:eastAsia="Times New Roman" w:hAnsi="Times New Roman" w:cs="Times New Roman"/>
          <w:sz w:val="24"/>
          <w:szCs w:val="24"/>
        </w:rPr>
        <w:t xml:space="preserve">g experiments have been used extensively in forestry settings to determine </w:t>
      </w:r>
      <w:r w:rsidR="00203C12">
        <w:rPr>
          <w:rFonts w:ascii="Times New Roman" w:eastAsia="Times New Roman" w:hAnsi="Times New Roman" w:cs="Times New Roman"/>
          <w:sz w:val="24"/>
          <w:szCs w:val="24"/>
        </w:rPr>
        <w:t>how RSA</w:t>
      </w:r>
      <w:r w:rsidR="223EAE97" w:rsidRPr="7A09D910">
        <w:rPr>
          <w:rFonts w:ascii="Times New Roman" w:eastAsia="Times New Roman" w:hAnsi="Times New Roman" w:cs="Times New Roman"/>
          <w:sz w:val="24"/>
          <w:szCs w:val="24"/>
        </w:rPr>
        <w:t xml:space="preserve"> relate</w:t>
      </w:r>
      <w:r w:rsidR="00203C12">
        <w:rPr>
          <w:rFonts w:ascii="Times New Roman" w:eastAsia="Times New Roman" w:hAnsi="Times New Roman" w:cs="Times New Roman"/>
          <w:sz w:val="24"/>
          <w:szCs w:val="24"/>
        </w:rPr>
        <w:t>s</w:t>
      </w:r>
      <w:r w:rsidR="223EAE97" w:rsidRPr="7A09D910">
        <w:rPr>
          <w:rFonts w:ascii="Times New Roman" w:eastAsia="Times New Roman" w:hAnsi="Times New Roman" w:cs="Times New Roman"/>
          <w:sz w:val="24"/>
          <w:szCs w:val="24"/>
        </w:rPr>
        <w:t xml:space="preserve"> to tree stability</w:t>
      </w:r>
      <w:r w:rsidR="00E206D5">
        <w:rPr>
          <w:rFonts w:ascii="Times New Roman" w:eastAsia="Times New Roman" w:hAnsi="Times New Roman" w:cs="Times New Roman"/>
          <w:sz w:val="24"/>
          <w:szCs w:val="24"/>
        </w:rPr>
        <w:t xml:space="preserve"> in storms</w:t>
      </w:r>
      <w:r w:rsidR="223EAE97" w:rsidRPr="7A09D910">
        <w:rPr>
          <w:rFonts w:ascii="Times New Roman" w:eastAsia="Times New Roman" w:hAnsi="Times New Roman" w:cs="Times New Roman"/>
          <w:sz w:val="24"/>
          <w:szCs w:val="24"/>
        </w:rPr>
        <w:t xml:space="preserve">. </w:t>
      </w:r>
      <w:r w:rsidR="02266E7B" w:rsidRPr="7A09D910">
        <w:rPr>
          <w:rFonts w:ascii="Times New Roman" w:eastAsia="Times New Roman" w:hAnsi="Times New Roman" w:cs="Times New Roman"/>
          <w:sz w:val="24"/>
          <w:szCs w:val="24"/>
        </w:rPr>
        <w:t xml:space="preserve">Clonally propagated </w:t>
      </w:r>
      <w:r w:rsidR="02266E7B" w:rsidRPr="7A09D910">
        <w:rPr>
          <w:rFonts w:ascii="Times New Roman" w:eastAsia="Times New Roman" w:hAnsi="Times New Roman" w:cs="Times New Roman"/>
          <w:i/>
          <w:iCs/>
          <w:sz w:val="24"/>
          <w:szCs w:val="24"/>
        </w:rPr>
        <w:t xml:space="preserve">Pinus radiata </w:t>
      </w:r>
      <w:r w:rsidR="02266E7B" w:rsidRPr="7A09D910">
        <w:rPr>
          <w:rFonts w:ascii="Times New Roman" w:eastAsia="Times New Roman" w:hAnsi="Times New Roman" w:cs="Times New Roman"/>
          <w:sz w:val="24"/>
          <w:szCs w:val="24"/>
        </w:rPr>
        <w:t>trees were found to have better lateral root development</w:t>
      </w:r>
      <w:r w:rsidR="3E6ED91E" w:rsidRPr="7A09D910">
        <w:rPr>
          <w:rFonts w:ascii="Times New Roman" w:eastAsia="Times New Roman" w:hAnsi="Times New Roman" w:cs="Times New Roman"/>
          <w:sz w:val="24"/>
          <w:szCs w:val="24"/>
        </w:rPr>
        <w:t xml:space="preserve"> and a lower likelihood of toppling </w:t>
      </w:r>
      <w:r w:rsidR="00B64BC4">
        <w:rPr>
          <w:rFonts w:ascii="Times New Roman" w:eastAsia="Times New Roman" w:hAnsi="Times New Roman" w:cs="Times New Roman"/>
          <w:sz w:val="24"/>
          <w:szCs w:val="24"/>
        </w:rPr>
        <w:t>than</w:t>
      </w:r>
      <w:r w:rsidR="3E6ED91E" w:rsidRPr="7A09D910">
        <w:rPr>
          <w:rFonts w:ascii="Times New Roman" w:eastAsia="Times New Roman" w:hAnsi="Times New Roman" w:cs="Times New Roman"/>
          <w:sz w:val="24"/>
          <w:szCs w:val="24"/>
        </w:rPr>
        <w:t xml:space="preserve"> seedling </w:t>
      </w:r>
      <w:r w:rsidR="00B64BC4">
        <w:rPr>
          <w:rFonts w:ascii="Times New Roman" w:eastAsia="Times New Roman" w:hAnsi="Times New Roman" w:cs="Times New Roman"/>
          <w:sz w:val="24"/>
          <w:szCs w:val="24"/>
        </w:rPr>
        <w:t xml:space="preserve">propagated </w:t>
      </w:r>
      <w:r w:rsidR="3E6ED91E" w:rsidRPr="7A09D910">
        <w:rPr>
          <w:rFonts w:ascii="Times New Roman" w:eastAsia="Times New Roman" w:hAnsi="Times New Roman" w:cs="Times New Roman"/>
          <w:sz w:val="24"/>
          <w:szCs w:val="24"/>
        </w:rPr>
        <w:t>trees</w:t>
      </w:r>
      <w:r w:rsidR="00B64BC4">
        <w:rPr>
          <w:rFonts w:ascii="Times New Roman" w:eastAsia="Times New Roman" w:hAnsi="Times New Roman" w:cs="Times New Roman"/>
          <w:sz w:val="24"/>
          <w:szCs w:val="24"/>
        </w:rPr>
        <w:t xml:space="preserve"> under similar growth conditions</w:t>
      </w:r>
      <w:r w:rsidR="02266E7B" w:rsidRPr="7A09D910">
        <w:rPr>
          <w:rFonts w:ascii="Times New Roman" w:eastAsia="Times New Roman" w:hAnsi="Times New Roman" w:cs="Times New Roman"/>
          <w:sz w:val="24"/>
          <w:szCs w:val="24"/>
        </w:rPr>
        <w:t xml:space="preserve"> </w:t>
      </w:r>
      <w:r w:rsidR="1348234E" w:rsidRPr="7A09D910">
        <w:rPr>
          <w:rFonts w:ascii="Times New Roman" w:eastAsia="Times New Roman" w:hAnsi="Times New Roman" w:cs="Times New Roman"/>
          <w:sz w:val="24"/>
          <w:szCs w:val="24"/>
        </w:rPr>
        <w:t>(</w:t>
      </w:r>
      <w:r w:rsidR="02266E7B" w:rsidRPr="7A09D910">
        <w:rPr>
          <w:rFonts w:ascii="Times New Roman" w:eastAsia="Times New Roman" w:hAnsi="Times New Roman" w:cs="Times New Roman"/>
          <w:sz w:val="24"/>
          <w:szCs w:val="24"/>
        </w:rPr>
        <w:t>Gautam et</w:t>
      </w:r>
      <w:r w:rsidR="6B2E1A70" w:rsidRPr="7A09D910">
        <w:rPr>
          <w:rFonts w:ascii="Times New Roman" w:eastAsia="Times New Roman" w:hAnsi="Times New Roman" w:cs="Times New Roman"/>
          <w:sz w:val="24"/>
          <w:szCs w:val="24"/>
        </w:rPr>
        <w:t xml:space="preserve"> al 1999)</w:t>
      </w:r>
      <w:r w:rsidR="009E0544">
        <w:rPr>
          <w:rFonts w:ascii="Times New Roman" w:eastAsia="Times New Roman" w:hAnsi="Times New Roman" w:cs="Times New Roman"/>
          <w:sz w:val="24"/>
          <w:szCs w:val="24"/>
        </w:rPr>
        <w:t xml:space="preserve"> </w:t>
      </w:r>
      <w:r w:rsidR="005B4111">
        <w:rPr>
          <w:rFonts w:ascii="Times New Roman" w:eastAsia="Times New Roman" w:hAnsi="Times New Roman" w:cs="Times New Roman"/>
          <w:sz w:val="24"/>
          <w:szCs w:val="24"/>
        </w:rPr>
        <w:t>while</w:t>
      </w:r>
      <w:r w:rsidR="009E0544">
        <w:rPr>
          <w:rFonts w:ascii="Times New Roman" w:eastAsia="Times New Roman" w:hAnsi="Times New Roman" w:cs="Times New Roman"/>
          <w:sz w:val="24"/>
          <w:szCs w:val="24"/>
        </w:rPr>
        <w:t xml:space="preserve"> </w:t>
      </w:r>
      <w:r w:rsidR="00495DD2">
        <w:rPr>
          <w:rFonts w:ascii="Times New Roman" w:eastAsia="Times New Roman" w:hAnsi="Times New Roman" w:cs="Times New Roman"/>
          <w:sz w:val="24"/>
          <w:szCs w:val="24"/>
        </w:rPr>
        <w:t xml:space="preserve">evaluations of wind toppled </w:t>
      </w:r>
      <w:r w:rsidR="00495DD2">
        <w:rPr>
          <w:rFonts w:ascii="Times New Roman" w:eastAsia="Times New Roman" w:hAnsi="Times New Roman" w:cs="Times New Roman"/>
          <w:i/>
          <w:iCs/>
          <w:sz w:val="24"/>
          <w:szCs w:val="24"/>
        </w:rPr>
        <w:t>Pinus radiata</w:t>
      </w:r>
      <w:r w:rsidR="00495DD2">
        <w:rPr>
          <w:rFonts w:ascii="Times New Roman" w:eastAsia="Times New Roman" w:hAnsi="Times New Roman" w:cs="Times New Roman"/>
          <w:sz w:val="24"/>
          <w:szCs w:val="24"/>
        </w:rPr>
        <w:t xml:space="preserve"> in Chile</w:t>
      </w:r>
      <w:r w:rsidR="005B4111">
        <w:rPr>
          <w:rFonts w:ascii="Times New Roman" w:eastAsia="Times New Roman" w:hAnsi="Times New Roman" w:cs="Times New Roman"/>
          <w:sz w:val="24"/>
          <w:szCs w:val="24"/>
        </w:rPr>
        <w:t xml:space="preserve"> </w:t>
      </w:r>
      <w:r w:rsidR="00FA7583">
        <w:rPr>
          <w:rFonts w:ascii="Times New Roman" w:eastAsia="Times New Roman" w:hAnsi="Times New Roman" w:cs="Times New Roman"/>
          <w:sz w:val="24"/>
          <w:szCs w:val="24"/>
        </w:rPr>
        <w:t>showed</w:t>
      </w:r>
      <w:r w:rsidR="005B4111">
        <w:rPr>
          <w:rFonts w:ascii="Times New Roman" w:eastAsia="Times New Roman" w:hAnsi="Times New Roman" w:cs="Times New Roman"/>
          <w:sz w:val="24"/>
          <w:szCs w:val="24"/>
        </w:rPr>
        <w:t xml:space="preserve"> that </w:t>
      </w:r>
      <w:r w:rsidR="00FA7583">
        <w:rPr>
          <w:rFonts w:ascii="Times New Roman" w:eastAsia="Times New Roman" w:hAnsi="Times New Roman" w:cs="Times New Roman"/>
          <w:sz w:val="24"/>
          <w:szCs w:val="24"/>
        </w:rPr>
        <w:t xml:space="preserve">trees with a strong taproot </w:t>
      </w:r>
      <w:r w:rsidR="00CC259D">
        <w:rPr>
          <w:rFonts w:ascii="Times New Roman" w:eastAsia="Times New Roman" w:hAnsi="Times New Roman" w:cs="Times New Roman"/>
          <w:sz w:val="24"/>
          <w:szCs w:val="24"/>
        </w:rPr>
        <w:t>were far less likely to topple than trees with</w:t>
      </w:r>
      <w:r w:rsidR="00873293">
        <w:rPr>
          <w:rFonts w:ascii="Times New Roman" w:eastAsia="Times New Roman" w:hAnsi="Times New Roman" w:cs="Times New Roman"/>
          <w:sz w:val="24"/>
          <w:szCs w:val="24"/>
        </w:rPr>
        <w:t xml:space="preserve"> malformed taproots (Toral </w:t>
      </w:r>
      <w:r w:rsidR="00873293">
        <w:rPr>
          <w:rFonts w:ascii="Times New Roman" w:eastAsia="Times New Roman" w:hAnsi="Times New Roman" w:cs="Times New Roman"/>
          <w:i/>
          <w:iCs/>
          <w:sz w:val="24"/>
          <w:szCs w:val="24"/>
        </w:rPr>
        <w:t xml:space="preserve">et al. </w:t>
      </w:r>
      <w:r w:rsidR="00B934C5">
        <w:rPr>
          <w:rFonts w:ascii="Times New Roman" w:eastAsia="Times New Roman" w:hAnsi="Times New Roman" w:cs="Times New Roman"/>
          <w:sz w:val="24"/>
          <w:szCs w:val="24"/>
        </w:rPr>
        <w:t>2011).</w:t>
      </w:r>
      <w:r w:rsidR="6B2E1A70" w:rsidRPr="7A09D910">
        <w:rPr>
          <w:rFonts w:ascii="Times New Roman" w:eastAsia="Times New Roman" w:hAnsi="Times New Roman" w:cs="Times New Roman"/>
          <w:sz w:val="24"/>
          <w:szCs w:val="24"/>
        </w:rPr>
        <w:t xml:space="preserve"> </w:t>
      </w:r>
      <w:r w:rsidR="00BF7652">
        <w:rPr>
          <w:rFonts w:ascii="Times New Roman" w:eastAsia="Times New Roman" w:hAnsi="Times New Roman" w:cs="Times New Roman"/>
          <w:sz w:val="24"/>
          <w:szCs w:val="24"/>
        </w:rPr>
        <w:t xml:space="preserve">Pulling experiments with </w:t>
      </w:r>
      <w:proofErr w:type="spellStart"/>
      <w:r w:rsidR="00BF7652">
        <w:rPr>
          <w:rFonts w:ascii="Times New Roman" w:eastAsia="Times New Roman" w:hAnsi="Times New Roman" w:cs="Times New Roman"/>
          <w:i/>
          <w:iCs/>
          <w:sz w:val="24"/>
          <w:szCs w:val="24"/>
        </w:rPr>
        <w:t>Samanea</w:t>
      </w:r>
      <w:proofErr w:type="spellEnd"/>
      <w:r w:rsidR="00BF7652">
        <w:rPr>
          <w:rFonts w:ascii="Times New Roman" w:eastAsia="Times New Roman" w:hAnsi="Times New Roman" w:cs="Times New Roman"/>
          <w:i/>
          <w:iCs/>
          <w:sz w:val="24"/>
          <w:szCs w:val="24"/>
        </w:rPr>
        <w:t xml:space="preserve"> saman</w:t>
      </w:r>
      <w:r w:rsidR="00BF7652">
        <w:rPr>
          <w:rFonts w:ascii="Times New Roman" w:eastAsia="Times New Roman" w:hAnsi="Times New Roman" w:cs="Times New Roman"/>
          <w:sz w:val="24"/>
          <w:szCs w:val="24"/>
        </w:rPr>
        <w:t xml:space="preserve"> (Rain Trees)</w:t>
      </w:r>
      <w:r w:rsidR="0001540D">
        <w:rPr>
          <w:rFonts w:ascii="Times New Roman" w:eastAsia="Times New Roman" w:hAnsi="Times New Roman" w:cs="Times New Roman"/>
          <w:sz w:val="24"/>
          <w:szCs w:val="24"/>
        </w:rPr>
        <w:t xml:space="preserve"> revealed that the </w:t>
      </w:r>
      <w:r w:rsidR="00421659">
        <w:rPr>
          <w:rFonts w:ascii="Times New Roman" w:eastAsia="Times New Roman" w:hAnsi="Times New Roman" w:cs="Times New Roman"/>
          <w:sz w:val="24"/>
          <w:szCs w:val="24"/>
        </w:rPr>
        <w:t>maximum resistive bending moment was strongly, positively correlated with the root plate area</w:t>
      </w:r>
      <w:r w:rsidR="009F193F">
        <w:rPr>
          <w:rFonts w:ascii="Times New Roman" w:eastAsia="Times New Roman" w:hAnsi="Times New Roman" w:cs="Times New Roman"/>
          <w:sz w:val="24"/>
          <w:szCs w:val="24"/>
        </w:rPr>
        <w:t xml:space="preserve"> and the extent of the tree canopy (</w:t>
      </w:r>
      <w:r w:rsidR="008E270B">
        <w:rPr>
          <w:rFonts w:ascii="Times New Roman" w:eastAsia="Times New Roman" w:hAnsi="Times New Roman" w:cs="Times New Roman"/>
          <w:sz w:val="24"/>
          <w:szCs w:val="24"/>
        </w:rPr>
        <w:t xml:space="preserve">Ow </w:t>
      </w:r>
      <w:r w:rsidR="008E270B">
        <w:rPr>
          <w:rFonts w:ascii="Times New Roman" w:eastAsia="Times New Roman" w:hAnsi="Times New Roman" w:cs="Times New Roman"/>
          <w:i/>
          <w:iCs/>
          <w:sz w:val="24"/>
          <w:szCs w:val="24"/>
        </w:rPr>
        <w:t xml:space="preserve">et al. </w:t>
      </w:r>
      <w:r w:rsidR="008E270B">
        <w:rPr>
          <w:rFonts w:ascii="Times New Roman" w:eastAsia="Times New Roman" w:hAnsi="Times New Roman" w:cs="Times New Roman"/>
          <w:sz w:val="24"/>
          <w:szCs w:val="24"/>
        </w:rPr>
        <w:t>2010)</w:t>
      </w:r>
      <w:r w:rsidR="00B64BC4">
        <w:rPr>
          <w:rFonts w:ascii="Times New Roman" w:eastAsia="Times New Roman" w:hAnsi="Times New Roman" w:cs="Times New Roman"/>
          <w:sz w:val="24"/>
          <w:szCs w:val="24"/>
        </w:rPr>
        <w:t xml:space="preserve">. </w:t>
      </w:r>
      <w:r w:rsidR="00DE08D0">
        <w:rPr>
          <w:rFonts w:ascii="Times New Roman" w:eastAsia="Times New Roman" w:hAnsi="Times New Roman" w:cs="Times New Roman"/>
          <w:sz w:val="24"/>
          <w:szCs w:val="24"/>
        </w:rPr>
        <w:t xml:space="preserve">Furthermore, </w:t>
      </w:r>
      <w:r w:rsidR="00443FE2">
        <w:rPr>
          <w:rFonts w:ascii="Times New Roman" w:eastAsia="Times New Roman" w:hAnsi="Times New Roman" w:cs="Times New Roman"/>
          <w:sz w:val="24"/>
          <w:szCs w:val="24"/>
        </w:rPr>
        <w:t xml:space="preserve">Kamimura </w:t>
      </w:r>
      <w:r w:rsidR="00443FE2">
        <w:rPr>
          <w:rFonts w:ascii="Times New Roman" w:eastAsia="Times New Roman" w:hAnsi="Times New Roman" w:cs="Times New Roman"/>
          <w:i/>
          <w:iCs/>
          <w:sz w:val="24"/>
          <w:szCs w:val="24"/>
        </w:rPr>
        <w:t xml:space="preserve">et al </w:t>
      </w:r>
      <w:r w:rsidR="00793154">
        <w:rPr>
          <w:rFonts w:ascii="Times New Roman" w:eastAsia="Times New Roman" w:hAnsi="Times New Roman" w:cs="Times New Roman"/>
          <w:sz w:val="24"/>
          <w:szCs w:val="24"/>
        </w:rPr>
        <w:t xml:space="preserve">found that water saturated soils greatly impact the overall root anchorage, </w:t>
      </w:r>
      <w:r w:rsidR="00684273">
        <w:rPr>
          <w:rFonts w:ascii="Times New Roman" w:eastAsia="Times New Roman" w:hAnsi="Times New Roman" w:cs="Times New Roman"/>
          <w:sz w:val="24"/>
          <w:szCs w:val="24"/>
        </w:rPr>
        <w:t xml:space="preserve">negatively impacting the maximum turning </w:t>
      </w:r>
      <w:r w:rsidR="00FE701D">
        <w:rPr>
          <w:rFonts w:ascii="Times New Roman" w:eastAsia="Times New Roman" w:hAnsi="Times New Roman" w:cs="Times New Roman"/>
          <w:sz w:val="24"/>
          <w:szCs w:val="24"/>
        </w:rPr>
        <w:t>moment</w:t>
      </w:r>
      <w:r w:rsidR="00353E86">
        <w:rPr>
          <w:rFonts w:ascii="Times New Roman" w:eastAsia="Times New Roman" w:hAnsi="Times New Roman" w:cs="Times New Roman"/>
          <w:sz w:val="24"/>
          <w:szCs w:val="24"/>
        </w:rPr>
        <w:t xml:space="preserve"> (2012)</w:t>
      </w:r>
      <w:r w:rsidR="00FE701D">
        <w:rPr>
          <w:rFonts w:ascii="Times New Roman" w:eastAsia="Times New Roman" w:hAnsi="Times New Roman" w:cs="Times New Roman"/>
          <w:sz w:val="24"/>
          <w:szCs w:val="24"/>
        </w:rPr>
        <w:t>.</w:t>
      </w:r>
      <w:r w:rsidR="00353E86">
        <w:rPr>
          <w:rFonts w:ascii="Times New Roman" w:eastAsia="Times New Roman" w:hAnsi="Times New Roman" w:cs="Times New Roman"/>
          <w:sz w:val="24"/>
          <w:szCs w:val="24"/>
        </w:rPr>
        <w:t xml:space="preserve"> </w:t>
      </w:r>
    </w:p>
    <w:p w14:paraId="5A57664F" w14:textId="75E584B6" w:rsidR="004D131B" w:rsidRPr="00443FE2" w:rsidRDefault="004D131B" w:rsidP="007F304E">
      <w:pPr>
        <w:spacing w:line="240" w:lineRule="auto"/>
        <w:ind w:firstLine="720"/>
        <w:rPr>
          <w:rFonts w:ascii="Times New Roman" w:eastAsia="Times New Roman" w:hAnsi="Times New Roman" w:cs="Times New Roman"/>
          <w:sz w:val="24"/>
          <w:szCs w:val="24"/>
        </w:rPr>
      </w:pPr>
      <w:r w:rsidRPr="004D131B">
        <w:rPr>
          <w:rFonts w:ascii="Times New Roman" w:eastAsia="Times New Roman" w:hAnsi="Times New Roman" w:cs="Times New Roman"/>
          <w:sz w:val="24"/>
          <w:szCs w:val="24"/>
        </w:rPr>
        <w:t>Root system architecture (RSA) in citrus trees</w:t>
      </w:r>
      <w:r w:rsidR="0089650D">
        <w:rPr>
          <w:rFonts w:ascii="Times New Roman" w:eastAsia="Times New Roman" w:hAnsi="Times New Roman" w:cs="Times New Roman"/>
          <w:sz w:val="24"/>
          <w:szCs w:val="24"/>
        </w:rPr>
        <w:t xml:space="preserve"> - </w:t>
      </w:r>
      <w:r w:rsidRPr="004D131B">
        <w:rPr>
          <w:rFonts w:ascii="Times New Roman" w:eastAsia="Times New Roman" w:hAnsi="Times New Roman" w:cs="Times New Roman"/>
          <w:sz w:val="24"/>
          <w:szCs w:val="24"/>
        </w:rPr>
        <w:t xml:space="preserve">particularly </w:t>
      </w:r>
      <w:r w:rsidR="0089650D">
        <w:rPr>
          <w:rFonts w:ascii="Times New Roman" w:eastAsia="Times New Roman" w:hAnsi="Times New Roman" w:cs="Times New Roman"/>
          <w:sz w:val="24"/>
          <w:szCs w:val="24"/>
        </w:rPr>
        <w:t>for</w:t>
      </w:r>
      <w:r w:rsidRPr="004D131B">
        <w:rPr>
          <w:rFonts w:ascii="Times New Roman" w:eastAsia="Times New Roman" w:hAnsi="Times New Roman" w:cs="Times New Roman"/>
          <w:sz w:val="24"/>
          <w:szCs w:val="24"/>
        </w:rPr>
        <w:t xml:space="preserve"> large lateral roo</w:t>
      </w:r>
      <w:r w:rsidR="0089650D">
        <w:rPr>
          <w:rFonts w:ascii="Times New Roman" w:eastAsia="Times New Roman" w:hAnsi="Times New Roman" w:cs="Times New Roman"/>
          <w:sz w:val="24"/>
          <w:szCs w:val="24"/>
        </w:rPr>
        <w:t xml:space="preserve">ts - </w:t>
      </w:r>
      <w:r w:rsidRPr="004D131B">
        <w:rPr>
          <w:rFonts w:ascii="Times New Roman" w:eastAsia="Times New Roman" w:hAnsi="Times New Roman" w:cs="Times New Roman"/>
          <w:sz w:val="24"/>
          <w:szCs w:val="24"/>
        </w:rPr>
        <w:t xml:space="preserve">has been investigated using ground penetrating radar, though this method has shown limited success under field conditions (Freeland, 2015; Zhang, 2019). To date, full root system excavation remains the most effective and reliable method for studying RSA in detail. Tree pulling and toppling experiments, widely used in forestry, have provided valuable insights into how RSA </w:t>
      </w:r>
      <w:r w:rsidR="005C7210">
        <w:rPr>
          <w:rFonts w:ascii="Times New Roman" w:eastAsia="Times New Roman" w:hAnsi="Times New Roman" w:cs="Times New Roman"/>
          <w:sz w:val="24"/>
          <w:szCs w:val="24"/>
        </w:rPr>
        <w:t xml:space="preserve">and propagation method </w:t>
      </w:r>
      <w:r w:rsidRPr="004D131B">
        <w:rPr>
          <w:rFonts w:ascii="Times New Roman" w:eastAsia="Times New Roman" w:hAnsi="Times New Roman" w:cs="Times New Roman"/>
          <w:sz w:val="24"/>
          <w:szCs w:val="24"/>
        </w:rPr>
        <w:t xml:space="preserve">influences mechanical stability during storm events. For example, clonally propagated </w:t>
      </w:r>
      <w:r w:rsidRPr="004D131B">
        <w:rPr>
          <w:rFonts w:ascii="Times New Roman" w:eastAsia="Times New Roman" w:hAnsi="Times New Roman" w:cs="Times New Roman"/>
          <w:i/>
          <w:iCs/>
          <w:sz w:val="24"/>
          <w:szCs w:val="24"/>
        </w:rPr>
        <w:t>Pinus radiata</w:t>
      </w:r>
      <w:r w:rsidRPr="004D131B">
        <w:rPr>
          <w:rFonts w:ascii="Times New Roman" w:eastAsia="Times New Roman" w:hAnsi="Times New Roman" w:cs="Times New Roman"/>
          <w:sz w:val="24"/>
          <w:szCs w:val="24"/>
        </w:rPr>
        <w:t xml:space="preserve"> trees exhibited more extensive lateral root development and lower susceptibility to toppling compared to seedling-propagated trees under similar conditions (Gautam et al., 1999). In Chile, post-</w:t>
      </w:r>
      <w:r w:rsidR="003E7066">
        <w:rPr>
          <w:rFonts w:ascii="Times New Roman" w:eastAsia="Times New Roman" w:hAnsi="Times New Roman" w:cs="Times New Roman"/>
          <w:sz w:val="24"/>
          <w:szCs w:val="24"/>
        </w:rPr>
        <w:t>storm</w:t>
      </w:r>
      <w:r w:rsidRPr="004D131B">
        <w:rPr>
          <w:rFonts w:ascii="Times New Roman" w:eastAsia="Times New Roman" w:hAnsi="Times New Roman" w:cs="Times New Roman"/>
          <w:sz w:val="24"/>
          <w:szCs w:val="24"/>
        </w:rPr>
        <w:t xml:space="preserve"> assessments revealed that </w:t>
      </w:r>
      <w:r w:rsidRPr="004D131B">
        <w:rPr>
          <w:rFonts w:ascii="Times New Roman" w:eastAsia="Times New Roman" w:hAnsi="Times New Roman" w:cs="Times New Roman"/>
          <w:i/>
          <w:iCs/>
          <w:sz w:val="24"/>
          <w:szCs w:val="24"/>
        </w:rPr>
        <w:t>P. radiata</w:t>
      </w:r>
      <w:r w:rsidRPr="004D131B">
        <w:rPr>
          <w:rFonts w:ascii="Times New Roman" w:eastAsia="Times New Roman" w:hAnsi="Times New Roman" w:cs="Times New Roman"/>
          <w:sz w:val="24"/>
          <w:szCs w:val="24"/>
        </w:rPr>
        <w:t xml:space="preserve"> trees with strong, well-formed taproots were significantly less likely to topple than those with malformed root systems (Toral et al., 2011). Pulling experiments in </w:t>
      </w:r>
      <w:proofErr w:type="spellStart"/>
      <w:r w:rsidRPr="004D131B">
        <w:rPr>
          <w:rFonts w:ascii="Times New Roman" w:eastAsia="Times New Roman" w:hAnsi="Times New Roman" w:cs="Times New Roman"/>
          <w:i/>
          <w:iCs/>
          <w:sz w:val="24"/>
          <w:szCs w:val="24"/>
        </w:rPr>
        <w:t>Samanea</w:t>
      </w:r>
      <w:proofErr w:type="spellEnd"/>
      <w:r w:rsidRPr="004D131B">
        <w:rPr>
          <w:rFonts w:ascii="Times New Roman" w:eastAsia="Times New Roman" w:hAnsi="Times New Roman" w:cs="Times New Roman"/>
          <w:i/>
          <w:iCs/>
          <w:sz w:val="24"/>
          <w:szCs w:val="24"/>
        </w:rPr>
        <w:t xml:space="preserve"> saman</w:t>
      </w:r>
      <w:r w:rsidRPr="004D131B">
        <w:rPr>
          <w:rFonts w:ascii="Times New Roman" w:eastAsia="Times New Roman" w:hAnsi="Times New Roman" w:cs="Times New Roman"/>
          <w:sz w:val="24"/>
          <w:szCs w:val="24"/>
        </w:rPr>
        <w:t xml:space="preserve"> (Rain Trees) demonstrated that maximum resistive bending moment was strongly and positively correlated with both root plate area and canopy extent (Ow et al., 2010). In addition, saturated soil conditions have been shown to reduce anchorage strength and the maximum turning moment in trees, further highlighting the importance of RSA and site conditions in mechanical resilience </w:t>
      </w:r>
      <w:r w:rsidR="00B46B8D">
        <w:rPr>
          <w:rFonts w:ascii="Times New Roman" w:eastAsia="Times New Roman" w:hAnsi="Times New Roman" w:cs="Times New Roman"/>
          <w:sz w:val="24"/>
          <w:szCs w:val="24"/>
        </w:rPr>
        <w:t xml:space="preserve">during strong weather events </w:t>
      </w:r>
      <w:r w:rsidRPr="004D131B">
        <w:rPr>
          <w:rFonts w:ascii="Times New Roman" w:eastAsia="Times New Roman" w:hAnsi="Times New Roman" w:cs="Times New Roman"/>
          <w:sz w:val="24"/>
          <w:szCs w:val="24"/>
        </w:rPr>
        <w:t>(Kamimura et al., 2012).</w:t>
      </w:r>
    </w:p>
    <w:p w14:paraId="2D79F691" w14:textId="034EF10F" w:rsidR="00EF6693" w:rsidRDefault="00000000" w:rsidP="007B5AD6">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w:t>
      </w:r>
      <w:r w:rsidR="00AB294C">
        <w:rPr>
          <w:rFonts w:ascii="Times New Roman" w:eastAsia="Times New Roman" w:hAnsi="Times New Roman" w:cs="Times New Roman"/>
          <w:sz w:val="24"/>
          <w:szCs w:val="24"/>
        </w:rPr>
        <w:t xml:space="preserve">ese studies </w:t>
      </w:r>
      <w:r w:rsidR="009D6979">
        <w:rPr>
          <w:rFonts w:ascii="Times New Roman" w:eastAsia="Times New Roman" w:hAnsi="Times New Roman" w:cs="Times New Roman"/>
          <w:sz w:val="24"/>
          <w:szCs w:val="24"/>
        </w:rPr>
        <w:t>conducted with other tree species</w:t>
      </w:r>
      <w:r>
        <w:rPr>
          <w:rFonts w:ascii="Times New Roman" w:eastAsia="Times New Roman" w:hAnsi="Times New Roman" w:cs="Times New Roman"/>
          <w:sz w:val="24"/>
          <w:szCs w:val="24"/>
        </w:rPr>
        <w:t xml:space="preserve">, there remains a knowledge gap regarding how rootstock selection and propagation methods interact to affect mechanical anchoring strength </w:t>
      </w:r>
      <w:r w:rsidR="00CA6FE1">
        <w:rPr>
          <w:rFonts w:ascii="Times New Roman" w:eastAsia="Times New Roman" w:hAnsi="Times New Roman" w:cs="Times New Roman"/>
          <w:sz w:val="24"/>
          <w:szCs w:val="24"/>
        </w:rPr>
        <w:t>in c</w:t>
      </w:r>
      <w:r w:rsidR="00C7545C">
        <w:rPr>
          <w:rFonts w:ascii="Times New Roman" w:eastAsia="Times New Roman" w:hAnsi="Times New Roman" w:cs="Times New Roman"/>
          <w:sz w:val="24"/>
          <w:szCs w:val="24"/>
        </w:rPr>
        <w:t>itrus trees</w:t>
      </w:r>
      <w:r>
        <w:rPr>
          <w:rFonts w:ascii="Times New Roman" w:eastAsia="Times New Roman" w:hAnsi="Times New Roman" w:cs="Times New Roman"/>
          <w:sz w:val="24"/>
          <w:szCs w:val="24"/>
        </w:rPr>
        <w:t>, particularly in HLB-endemic environments where root systems are already compromised. Understanding how genetics and propagation practices shape root system architecture and influences tree resilience is critical for developing recommendations to help Florida’s citrus growers reduce hurricane damage and improve orchard longevity.</w:t>
      </w:r>
    </w:p>
    <w:p w14:paraId="15EAF02E" w14:textId="78AE8A4F" w:rsidR="00E376AD" w:rsidRDefault="00E376AD">
      <w:pPr>
        <w:spacing w:line="240" w:lineRule="auto"/>
        <w:ind w:firstLine="720"/>
        <w:rPr>
          <w:rFonts w:ascii="Times New Roman" w:eastAsia="Times New Roman" w:hAnsi="Times New Roman" w:cs="Times New Roman"/>
          <w:sz w:val="24"/>
          <w:szCs w:val="24"/>
        </w:rPr>
      </w:pPr>
      <w:r w:rsidRPr="00E376AD">
        <w:rPr>
          <w:rFonts w:ascii="Times New Roman" w:eastAsia="Times New Roman" w:hAnsi="Times New Roman" w:cs="Times New Roman"/>
          <w:sz w:val="24"/>
          <w:szCs w:val="24"/>
        </w:rPr>
        <w:t xml:space="preserve">The objective of this study was to evaluate how rootstock cultivar and propagation method influence root system architecture (RSA), </w:t>
      </w:r>
      <w:r>
        <w:rPr>
          <w:rFonts w:ascii="Times New Roman" w:eastAsia="Times New Roman" w:hAnsi="Times New Roman" w:cs="Times New Roman"/>
          <w:sz w:val="24"/>
          <w:szCs w:val="24"/>
        </w:rPr>
        <w:t>tree</w:t>
      </w:r>
      <w:r w:rsidRPr="00E376AD">
        <w:rPr>
          <w:rFonts w:ascii="Times New Roman" w:eastAsia="Times New Roman" w:hAnsi="Times New Roman" w:cs="Times New Roman"/>
          <w:sz w:val="24"/>
          <w:szCs w:val="24"/>
        </w:rPr>
        <w:t xml:space="preserve"> growth, and anchorage strength in two-year-old </w:t>
      </w:r>
      <w:r w:rsidRPr="00E376AD">
        <w:rPr>
          <w:rFonts w:ascii="Times New Roman" w:eastAsia="Times New Roman" w:hAnsi="Times New Roman" w:cs="Times New Roman"/>
          <w:i/>
          <w:iCs/>
          <w:sz w:val="24"/>
          <w:szCs w:val="24"/>
        </w:rPr>
        <w:t>Citrus sinensis</w:t>
      </w:r>
      <w:r w:rsidRPr="00E376AD">
        <w:rPr>
          <w:rFonts w:ascii="Times New Roman" w:eastAsia="Times New Roman" w:hAnsi="Times New Roman" w:cs="Times New Roman"/>
          <w:sz w:val="24"/>
          <w:szCs w:val="24"/>
        </w:rPr>
        <w:t xml:space="preserve"> trees grown under endemic HLB conditions at two Florida field sites. To address this, we conducted controlled tree pulling experiments to quantify mechanical resistance to uprooting and examined how specific root traits and propagation techniques contribute to overall tree stability. By identifying combinations of rootstock and propagation methods that enhance anchorage and structural resilience, this work aims to inform breeding and nursery practices that promote citrus trees capable of withstanding both biological stress from HLB and physical damage from extreme weather events.</w:t>
      </w:r>
    </w:p>
    <w:p w14:paraId="5A39BBE3" w14:textId="77777777" w:rsidR="00EF6693" w:rsidRDefault="00EF6693">
      <w:pPr>
        <w:spacing w:line="240" w:lineRule="auto"/>
        <w:ind w:firstLine="720"/>
        <w:rPr>
          <w:rFonts w:ascii="Times New Roman" w:eastAsia="Times New Roman" w:hAnsi="Times New Roman" w:cs="Times New Roman"/>
          <w:sz w:val="24"/>
          <w:szCs w:val="24"/>
        </w:rPr>
      </w:pPr>
    </w:p>
    <w:p w14:paraId="0464C9DA" w14:textId="77777777" w:rsidR="00EF6693" w:rsidRDefault="00000000">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Methods and Materials</w:t>
      </w:r>
    </w:p>
    <w:p w14:paraId="4C7CD507" w14:textId="77777777" w:rsidR="00EF6693"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Plant Material</w:t>
      </w:r>
    </w:p>
    <w:p w14:paraId="4087A9EC"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plant material for this experiment was generated from USDA certified budwood of Valencia orange (</w:t>
      </w:r>
      <w:r>
        <w:rPr>
          <w:rFonts w:ascii="Times New Roman" w:eastAsia="Times New Roman" w:hAnsi="Times New Roman" w:cs="Times New Roman"/>
          <w:i/>
          <w:sz w:val="24"/>
          <w:szCs w:val="24"/>
        </w:rPr>
        <w:t>Citrus sinensis</w:t>
      </w:r>
      <w:r>
        <w:rPr>
          <w:rFonts w:ascii="Times New Roman" w:eastAsia="Times New Roman" w:hAnsi="Times New Roman" w:cs="Times New Roman"/>
          <w:sz w:val="24"/>
          <w:szCs w:val="24"/>
        </w:rPr>
        <w:t>) and four different commercially available citrus rootstocks: US-812 [Sunki mandarin (</w:t>
      </w:r>
      <w:r>
        <w:rPr>
          <w:rFonts w:ascii="Times New Roman" w:eastAsia="Times New Roman" w:hAnsi="Times New Roman" w:cs="Times New Roman"/>
          <w:i/>
          <w:sz w:val="24"/>
          <w:szCs w:val="24"/>
        </w:rPr>
        <w:t>C. reticulata</w:t>
      </w:r>
      <w:r>
        <w:rPr>
          <w:rFonts w:ascii="Times New Roman" w:eastAsia="Times New Roman" w:hAnsi="Times New Roman" w:cs="Times New Roman"/>
          <w:sz w:val="24"/>
          <w:szCs w:val="24"/>
        </w:rPr>
        <w:t>) X Benecke trifoliate orange (</w:t>
      </w:r>
      <w:proofErr w:type="spellStart"/>
      <w:r>
        <w:rPr>
          <w:rFonts w:ascii="Times New Roman" w:eastAsia="Times New Roman" w:hAnsi="Times New Roman" w:cs="Times New Roman"/>
          <w:i/>
          <w:sz w:val="24"/>
          <w:szCs w:val="24"/>
        </w:rPr>
        <w:t>Poncirus</w:t>
      </w:r>
      <w:proofErr w:type="spellEnd"/>
      <w:r>
        <w:rPr>
          <w:rFonts w:ascii="Times New Roman" w:eastAsia="Times New Roman" w:hAnsi="Times New Roman" w:cs="Times New Roman"/>
          <w:i/>
          <w:sz w:val="24"/>
          <w:szCs w:val="24"/>
        </w:rPr>
        <w:t xml:space="preserve"> trifoliata</w:t>
      </w:r>
      <w:r>
        <w:rPr>
          <w:rFonts w:ascii="Times New Roman" w:eastAsia="Times New Roman" w:hAnsi="Times New Roman" w:cs="Times New Roman"/>
          <w:sz w:val="24"/>
          <w:szCs w:val="24"/>
        </w:rPr>
        <w:t xml:space="preserve"> [L.] Raf.)], US-897 [Cleopatra mandarin (</w:t>
      </w:r>
      <w:r>
        <w:rPr>
          <w:rFonts w:ascii="Times New Roman" w:eastAsia="Times New Roman" w:hAnsi="Times New Roman" w:cs="Times New Roman"/>
          <w:i/>
          <w:sz w:val="24"/>
          <w:szCs w:val="24"/>
        </w:rPr>
        <w:t>C. reticulata</w:t>
      </w:r>
      <w:r>
        <w:rPr>
          <w:rFonts w:ascii="Times New Roman" w:eastAsia="Times New Roman" w:hAnsi="Times New Roman" w:cs="Times New Roman"/>
          <w:sz w:val="24"/>
          <w:szCs w:val="24"/>
        </w:rPr>
        <w:t>) X Flying Dragon trifoliate orange (</w:t>
      </w:r>
      <w:r>
        <w:rPr>
          <w:rFonts w:ascii="Times New Roman" w:eastAsia="Times New Roman" w:hAnsi="Times New Roman" w:cs="Times New Roman"/>
          <w:i/>
          <w:sz w:val="24"/>
          <w:szCs w:val="24"/>
        </w:rPr>
        <w:t>P. trifoliata</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US-942 [Sunki mandarin X Flying Dragon trifoliate orange], and US-1516 [African Pummelo (</w:t>
      </w:r>
      <w:r>
        <w:rPr>
          <w:rFonts w:ascii="Times New Roman" w:eastAsia="Times New Roman" w:hAnsi="Times New Roman" w:cs="Times New Roman"/>
          <w:i/>
          <w:sz w:val="24"/>
          <w:szCs w:val="24"/>
        </w:rPr>
        <w:t>C. grandis</w:t>
      </w:r>
      <w:r>
        <w:rPr>
          <w:rFonts w:ascii="Times New Roman" w:eastAsia="Times New Roman" w:hAnsi="Times New Roman" w:cs="Times New Roman"/>
          <w:sz w:val="24"/>
          <w:szCs w:val="24"/>
        </w:rPr>
        <w:t xml:space="preserve">) X Flying Dragon trifoliate orange]. The rootstock liners were in turn propagated by three commonly used industry propagation methods: nucellar seed propagation, vegetative cuttings of mature tissue, and micropropagation tissue culture. </w:t>
      </w:r>
    </w:p>
    <w:p w14:paraId="2D89F4B7"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Citrus trees were produced by grafting the Valencia budwood onto the rootstock liners using the inverted T-budding method when the liners had approximately 6 months of growth from initial propagation. The grafted trees were grown 5 x 9.5” plastic pots (CP59R, Stuewe &amp; Sons, Inc., Tangent, Oregon) in phytosanitary, APHIS certified greenhouses at the USDA/ARS location in Fort Pierce, FL until they were planted in the field. Trees received a soil drench of imidacloprid (Admire Pro, Bayer Crop Science) at the recommended dosage prior to field transplanting to help prevent premature transmission of citrus greening by Asian Citrus Psyllids.</w:t>
      </w:r>
    </w:p>
    <w:p w14:paraId="5DC90060" w14:textId="77777777" w:rsidR="00EF6693"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Field Locations and Tree Care</w:t>
      </w:r>
    </w:p>
    <w:p w14:paraId="4CC1F8AA" w14:textId="345A6002"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Two citrus field trials were established on the east coast of Florida in St. Lucie and Indian River County in November of 2019. The St. Lucie County site</w:t>
      </w:r>
      <w:r w:rsidR="009852CF">
        <w:rPr>
          <w:rFonts w:ascii="Times New Roman" w:eastAsia="Times New Roman" w:hAnsi="Times New Roman" w:cs="Times New Roman"/>
          <w:sz w:val="24"/>
          <w:szCs w:val="24"/>
        </w:rPr>
        <w:t xml:space="preserve">, hereon </w:t>
      </w:r>
      <w:r>
        <w:rPr>
          <w:rFonts w:ascii="Times New Roman" w:eastAsia="Times New Roman" w:hAnsi="Times New Roman" w:cs="Times New Roman"/>
          <w:sz w:val="24"/>
          <w:szCs w:val="24"/>
        </w:rPr>
        <w:t>designated “Field Trial 1”</w:t>
      </w:r>
      <w:r w:rsidR="009852CF">
        <w:rPr>
          <w:rFonts w:ascii="Times New Roman" w:eastAsia="Times New Roman" w:hAnsi="Times New Roman" w:cs="Times New Roman"/>
          <w:sz w:val="24"/>
          <w:szCs w:val="24"/>
        </w:rPr>
        <w:t xml:space="preserve"> (FT1)</w:t>
      </w:r>
      <w:r>
        <w:rPr>
          <w:rFonts w:ascii="Times New Roman" w:eastAsia="Times New Roman" w:hAnsi="Times New Roman" w:cs="Times New Roman"/>
          <w:sz w:val="24"/>
          <w:szCs w:val="24"/>
        </w:rPr>
        <w:t xml:space="preserve"> had flatwoods sandy soils, while the Indian River County site</w:t>
      </w:r>
      <w:r w:rsidR="009852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designated “Field Trial 2”</w:t>
      </w:r>
      <w:r w:rsidR="009852CF">
        <w:rPr>
          <w:rFonts w:ascii="Times New Roman" w:eastAsia="Times New Roman" w:hAnsi="Times New Roman" w:cs="Times New Roman"/>
          <w:sz w:val="24"/>
          <w:szCs w:val="24"/>
        </w:rPr>
        <w:t>(FT2</w:t>
      </w:r>
      <w:r>
        <w:rPr>
          <w:rFonts w:ascii="Times New Roman" w:eastAsia="Times New Roman" w:hAnsi="Times New Roman" w:cs="Times New Roman"/>
          <w:sz w:val="24"/>
          <w:szCs w:val="24"/>
        </w:rPr>
        <w:t>) had much heavier soils with a high clay content and a high water table. Both trials were set up as randomized complete block designs with each plot in a block being composed of two trees of the same rootstock and propagation type</w:t>
      </w:r>
      <w:r w:rsidR="00794CA0">
        <w:rPr>
          <w:rFonts w:ascii="Times New Roman" w:eastAsia="Times New Roman" w:hAnsi="Times New Roman" w:cs="Times New Roman"/>
          <w:sz w:val="24"/>
          <w:szCs w:val="24"/>
        </w:rPr>
        <w:t>, and every rootstock</w:t>
      </w:r>
      <w:r w:rsidR="00D85533">
        <w:rPr>
          <w:rFonts w:ascii="Times New Roman" w:eastAsia="Times New Roman" w:hAnsi="Times New Roman" w:cs="Times New Roman"/>
          <w:sz w:val="24"/>
          <w:szCs w:val="24"/>
        </w:rPr>
        <w:t xml:space="preserve"> x propagation method was evaluated in each block</w:t>
      </w:r>
      <w:r>
        <w:rPr>
          <w:rFonts w:ascii="Times New Roman" w:eastAsia="Times New Roman" w:hAnsi="Times New Roman" w:cs="Times New Roman"/>
          <w:sz w:val="24"/>
          <w:szCs w:val="24"/>
        </w:rPr>
        <w:t xml:space="preserve">. </w:t>
      </w:r>
      <w:r w:rsidR="009852CF">
        <w:rPr>
          <w:rFonts w:ascii="Times New Roman" w:eastAsia="Times New Roman" w:hAnsi="Times New Roman" w:cs="Times New Roman"/>
          <w:sz w:val="24"/>
          <w:szCs w:val="24"/>
        </w:rPr>
        <w:t>FT1</w:t>
      </w:r>
      <w:r>
        <w:rPr>
          <w:rFonts w:ascii="Times New Roman" w:eastAsia="Times New Roman" w:hAnsi="Times New Roman" w:cs="Times New Roman"/>
          <w:sz w:val="24"/>
          <w:szCs w:val="24"/>
        </w:rPr>
        <w:t xml:space="preserve"> contained a total of five blocks, laid out linearly along two orchard rows</w:t>
      </w:r>
      <w:r w:rsidR="0009401D">
        <w:rPr>
          <w:rFonts w:ascii="Times New Roman" w:eastAsia="Times New Roman" w:hAnsi="Times New Roman" w:cs="Times New Roman"/>
          <w:sz w:val="24"/>
          <w:szCs w:val="24"/>
        </w:rPr>
        <w:t xml:space="preserve"> with a total of </w:t>
      </w:r>
      <w:r w:rsidR="00CD3488">
        <w:rPr>
          <w:rFonts w:ascii="Times New Roman" w:eastAsia="Times New Roman" w:hAnsi="Times New Roman" w:cs="Times New Roman"/>
          <w:sz w:val="24"/>
          <w:szCs w:val="24"/>
        </w:rPr>
        <w:t>120 trees (excluding buffer trees)</w:t>
      </w:r>
      <w:r>
        <w:rPr>
          <w:rFonts w:ascii="Times New Roman" w:eastAsia="Times New Roman" w:hAnsi="Times New Roman" w:cs="Times New Roman"/>
          <w:sz w:val="24"/>
          <w:szCs w:val="24"/>
        </w:rPr>
        <w:t xml:space="preserve">. </w:t>
      </w:r>
      <w:r w:rsidR="009852CF">
        <w:rPr>
          <w:rFonts w:ascii="Times New Roman" w:eastAsia="Times New Roman" w:hAnsi="Times New Roman" w:cs="Times New Roman"/>
          <w:sz w:val="24"/>
          <w:szCs w:val="24"/>
        </w:rPr>
        <w:t>FT2</w:t>
      </w:r>
      <w:r>
        <w:rPr>
          <w:rFonts w:ascii="Times New Roman" w:eastAsia="Times New Roman" w:hAnsi="Times New Roman" w:cs="Times New Roman"/>
          <w:sz w:val="24"/>
          <w:szCs w:val="24"/>
        </w:rPr>
        <w:t xml:space="preserve"> contained a total of six experimental blocks, laid out linearly along two rows</w:t>
      </w:r>
      <w:r w:rsidR="00CD3488">
        <w:rPr>
          <w:rFonts w:ascii="Times New Roman" w:eastAsia="Times New Roman" w:hAnsi="Times New Roman" w:cs="Times New Roman"/>
          <w:sz w:val="24"/>
          <w:szCs w:val="24"/>
        </w:rPr>
        <w:t xml:space="preserve"> with a total of 144 trees, excluding buffer plots</w:t>
      </w:r>
      <w:r>
        <w:rPr>
          <w:rFonts w:ascii="Times New Roman" w:eastAsia="Times New Roman" w:hAnsi="Times New Roman" w:cs="Times New Roman"/>
          <w:sz w:val="24"/>
          <w:szCs w:val="24"/>
        </w:rPr>
        <w:t>.</w:t>
      </w:r>
      <w:r w:rsidR="00794CA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trees were grown for a total of two years in each location before ex</w:t>
      </w:r>
      <w:r w:rsidR="00D277DB">
        <w:rPr>
          <w:rFonts w:ascii="Times New Roman" w:eastAsia="Times New Roman" w:hAnsi="Times New Roman" w:cs="Times New Roman"/>
          <w:sz w:val="24"/>
          <w:szCs w:val="24"/>
        </w:rPr>
        <w:t>trac</w:t>
      </w:r>
      <w:r>
        <w:rPr>
          <w:rFonts w:ascii="Times New Roman" w:eastAsia="Times New Roman" w:hAnsi="Times New Roman" w:cs="Times New Roman"/>
          <w:sz w:val="24"/>
          <w:szCs w:val="24"/>
        </w:rPr>
        <w:t>tion. Trees were under similar standard management programs for the duration of the experiment. Leaf samples were collected from the trees in each replicate and sent to Water Labs (Georgia) for nutrient analysis to ensure they were within normal ranges.</w:t>
      </w:r>
    </w:p>
    <w:p w14:paraId="3B4BC6CF" w14:textId="77777777" w:rsidR="00EF6693"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Two Year Takedown Tree Measurements</w:t>
      </w:r>
    </w:p>
    <w:p w14:paraId="66BE5055" w14:textId="59E1A82C"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years after planting the trials, we conducted standard measurements of the trees to characterize young tree growth and development. Tree height was measured from the base of the trunk to the top of the canopy, excluding any erratic shoot growth. Canopy width was measured twice for each tree using a similar method along both cardinal directions of the tree and then averaged. Tree canopy volume was </w:t>
      </w:r>
      <w:r w:rsidR="00A32BC6">
        <w:rPr>
          <w:rFonts w:ascii="Times New Roman" w:eastAsia="Times New Roman" w:hAnsi="Times New Roman" w:cs="Times New Roman"/>
          <w:sz w:val="24"/>
          <w:szCs w:val="24"/>
        </w:rPr>
        <w:t>estimated</w:t>
      </w:r>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tree_height_cm</w:t>
      </w:r>
      <w:proofErr w:type="spellEnd"/>
      <w:r>
        <w:rPr>
          <w:rFonts w:ascii="Times New Roman" w:eastAsia="Times New Roman" w:hAnsi="Times New Roman" w:cs="Times New Roman"/>
          <w:sz w:val="24"/>
          <w:szCs w:val="24"/>
        </w:rPr>
        <w:t xml:space="preserve"> * can_width_1 * can_width_2) /4 as outlined in </w:t>
      </w:r>
      <w:proofErr w:type="spellStart"/>
      <w:r>
        <w:rPr>
          <w:rFonts w:ascii="Times New Roman" w:eastAsia="Times New Roman" w:hAnsi="Times New Roman" w:cs="Times New Roman"/>
          <w:sz w:val="24"/>
          <w:szCs w:val="24"/>
        </w:rPr>
        <w:t>Wutscher</w:t>
      </w:r>
      <w:proofErr w:type="spellEnd"/>
      <w:r>
        <w:rPr>
          <w:rFonts w:ascii="Times New Roman" w:eastAsia="Times New Roman" w:hAnsi="Times New Roman" w:cs="Times New Roman"/>
          <w:sz w:val="24"/>
          <w:szCs w:val="24"/>
        </w:rPr>
        <w:t xml:space="preserve"> and Hill 1995. Rootstock and scion circumferences were measured using a soft measuring tape at 5cm above and below the middle of the graft union. The rootstock </w:t>
      </w:r>
      <w:r>
        <w:rPr>
          <w:rFonts w:ascii="Times New Roman" w:eastAsia="Times New Roman" w:hAnsi="Times New Roman" w:cs="Times New Roman"/>
          <w:sz w:val="24"/>
          <w:szCs w:val="24"/>
        </w:rPr>
        <w:lastRenderedPageBreak/>
        <w:t>and scion circumference ratio was expressed as RS/SC with values &gt; 1 indicating a larger rootstock than scion.</w:t>
      </w:r>
    </w:p>
    <w:p w14:paraId="2ACABA9F"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Leaf area index was calculated using a LAI-2200C (LI-COR, Inc. Lincoln, NE). Measurements were taken under the tree canopies using a lens cap to mask the trunk of the tree. Standard measurement practices such as correcting for light scattering were applied since the measurements were taken on sunny days. HLB canopy disease ratings were assessed visually by rating on a scale of 1-5 with 1 = no foliar disease and 5 = 75% or more of the leaves having disease symptoms. The canopy thickness and color rating were conducted similarly, where a rating of 1 indicates a thin, very yellow canopy and a rating of 5 indicates a very thick, dark green canopy. Two assessments for each rating scale were conducted on opposite sides of every tree and then averaged. Visual confirmation of HLB symptoms were confirmed by qPCR analysis for every tree using the standard qPCR assay for HLB.</w:t>
      </w:r>
    </w:p>
    <w:p w14:paraId="54F022E9" w14:textId="77777777" w:rsidR="00EF6693"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Tree Excavation</w:t>
      </w:r>
    </w:p>
    <w:p w14:paraId="2D99936E"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t>Cable Setup for Tree Excavation</w:t>
      </w:r>
    </w:p>
    <w:p w14:paraId="05B5E308"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At two years of age, every tree in each trial was excavated entirely from the soil using a modified ATV winch setup. Briefly, we used a cordless impact driver equipped with a wingnut bit to drive large, stainless-steel eyebolts into the tree trunk around 20-25cm (about 9.84 in) from the soil level. We used a combination of two to three eyebolts per tree depending on the size of the trunk. Two eyebolts were drilled in on opposite sides of the tree, perpendicular to the direction of the excavation force. A third eyebolt, if needed, was installed in line with the direction of the excavation force on the opposite side of the tree. We then looped two tie-down straps around the trunk of the tree and cinched them up tight right underneath the eyebolts.</w:t>
      </w:r>
    </w:p>
    <w:p w14:paraId="5EF4FB0D"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constructed a short cable connector (total length 4’) out of 5/32” galvanized steel cable. This was wound around a wire rope thimble at each end, and the loose cable ends were fastened down to the main wire with two galvanized cable clips. The ends of the cables were protected by wrapping them with cable tape. Finally, two steel slip hooks each with a 6000lb capacity were attached with clevis connectors to the wire thimbles so that each end of the cable connector had a slip hook attachment. </w:t>
      </w:r>
    </w:p>
    <w:p w14:paraId="2CC9CB10" w14:textId="56970BB2" w:rsidR="00EF6693" w:rsidRDefault="00000000" w:rsidP="00F059A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The free ends of the two tie-down straps were attached to one hook on this cable connector, and the other was attached to a lift ring on a digital force gauge with a 10,000 N load capacity and an S-beam load cell (FG-7000L-S-10, </w:t>
      </w:r>
      <w:proofErr w:type="spellStart"/>
      <w:r>
        <w:rPr>
          <w:rFonts w:ascii="Times New Roman" w:eastAsia="Times New Roman" w:hAnsi="Times New Roman" w:cs="Times New Roman"/>
          <w:sz w:val="24"/>
          <w:szCs w:val="24"/>
        </w:rPr>
        <w:t>Shimpo</w:t>
      </w:r>
      <w:proofErr w:type="spellEnd"/>
      <w:r>
        <w:rPr>
          <w:rFonts w:ascii="Times New Roman" w:eastAsia="Times New Roman" w:hAnsi="Times New Roman" w:cs="Times New Roman"/>
          <w:sz w:val="24"/>
          <w:szCs w:val="24"/>
        </w:rPr>
        <w:t xml:space="preserve"> Instruments, Lynbrook NY). The opposite lift ring on the force gauge was connected to the cable hook on a 6000lb rated ATV winch which was mounted on the rear hitch of a half-ton pickup truck. Force profile</w:t>
      </w:r>
      <w:r w:rsidR="00F059AE">
        <w:rPr>
          <w:rFonts w:ascii="Times New Roman" w:eastAsia="Times New Roman" w:hAnsi="Times New Roman" w:cs="Times New Roman"/>
          <w:sz w:val="24"/>
          <w:szCs w:val="24"/>
        </w:rPr>
        <w:t xml:space="preserve"> data </w:t>
      </w:r>
      <w:r w:rsidR="00074729">
        <w:rPr>
          <w:rFonts w:ascii="Times New Roman" w:eastAsia="Times New Roman" w:hAnsi="Times New Roman" w:cs="Times New Roman"/>
          <w:sz w:val="24"/>
          <w:szCs w:val="24"/>
        </w:rPr>
        <w:t xml:space="preserve">for the </w:t>
      </w:r>
      <w:proofErr w:type="spellStart"/>
      <w:r w:rsidR="00074729">
        <w:rPr>
          <w:rFonts w:ascii="Times New Roman" w:eastAsia="Times New Roman" w:hAnsi="Times New Roman" w:cs="Times New Roman"/>
          <w:sz w:val="24"/>
          <w:szCs w:val="24"/>
        </w:rPr>
        <w:t>each</w:t>
      </w:r>
      <w:proofErr w:type="spellEnd"/>
      <w:r w:rsidR="00074729">
        <w:rPr>
          <w:rFonts w:ascii="Times New Roman" w:eastAsia="Times New Roman" w:hAnsi="Times New Roman" w:cs="Times New Roman"/>
          <w:sz w:val="24"/>
          <w:szCs w:val="24"/>
        </w:rPr>
        <w:t xml:space="preserve"> tree extraction </w:t>
      </w:r>
      <w:r w:rsidR="00F059AE">
        <w:rPr>
          <w:rFonts w:ascii="Times New Roman" w:eastAsia="Times New Roman" w:hAnsi="Times New Roman" w:cs="Times New Roman"/>
          <w:sz w:val="24"/>
          <w:szCs w:val="24"/>
        </w:rPr>
        <w:t xml:space="preserve">were recorded in Newtons at a rate of 30 </w:t>
      </w:r>
      <w:r w:rsidR="00074729">
        <w:rPr>
          <w:rFonts w:ascii="Times New Roman" w:eastAsia="Times New Roman" w:hAnsi="Times New Roman" w:cs="Times New Roman"/>
          <w:sz w:val="24"/>
          <w:szCs w:val="24"/>
        </w:rPr>
        <w:t>measurements per second and</w:t>
      </w:r>
      <w:r w:rsidR="00CF5CDE">
        <w:rPr>
          <w:rFonts w:ascii="Times New Roman" w:eastAsia="Times New Roman" w:hAnsi="Times New Roman" w:cs="Times New Roman"/>
          <w:sz w:val="24"/>
          <w:szCs w:val="24"/>
        </w:rPr>
        <w:t xml:space="preserve"> recorded to a </w:t>
      </w:r>
      <w:r>
        <w:rPr>
          <w:rFonts w:ascii="Times New Roman" w:eastAsia="Times New Roman" w:hAnsi="Times New Roman" w:cs="Times New Roman"/>
          <w:sz w:val="24"/>
          <w:szCs w:val="24"/>
        </w:rPr>
        <w:t>laptop running logging software (</w:t>
      </w:r>
      <w:r>
        <w:rPr>
          <w:rFonts w:ascii="Times New Roman" w:eastAsia="Times New Roman" w:hAnsi="Times New Roman" w:cs="Times New Roman"/>
          <w:color w:val="000000" w:themeColor="text1"/>
          <w:sz w:val="24"/>
          <w:szCs w:val="24"/>
        </w:rPr>
        <w:t xml:space="preserve">EDMS-FG V4.6.2, </w:t>
      </w:r>
      <w:proofErr w:type="spellStart"/>
      <w:r>
        <w:rPr>
          <w:rFonts w:ascii="Times New Roman" w:eastAsia="Times New Roman" w:hAnsi="Times New Roman" w:cs="Times New Roman"/>
          <w:color w:val="000000" w:themeColor="text1"/>
          <w:sz w:val="24"/>
          <w:szCs w:val="24"/>
        </w:rPr>
        <w:t>Shimpo</w:t>
      </w:r>
      <w:proofErr w:type="spellEnd"/>
      <w:r>
        <w:rPr>
          <w:rFonts w:ascii="Times New Roman" w:eastAsia="Times New Roman" w:hAnsi="Times New Roman" w:cs="Times New Roman"/>
          <w:color w:val="000000" w:themeColor="text1"/>
          <w:sz w:val="24"/>
          <w:szCs w:val="24"/>
        </w:rPr>
        <w:t xml:space="preserve"> Instruments, Lynbrook, NY). </w:t>
      </w:r>
    </w:p>
    <w:p w14:paraId="41C8F396" w14:textId="77777777" w:rsidR="00EF6693" w:rsidRDefault="00EF6693">
      <w:pPr>
        <w:spacing w:after="0" w:line="240" w:lineRule="auto"/>
        <w:rPr>
          <w:rFonts w:ascii="Times New Roman" w:eastAsia="Times New Roman" w:hAnsi="Times New Roman" w:cs="Times New Roman"/>
          <w:color w:val="000000" w:themeColor="text1"/>
          <w:sz w:val="24"/>
          <w:szCs w:val="24"/>
        </w:rPr>
      </w:pPr>
    </w:p>
    <w:p w14:paraId="5E7F9ECD"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t>IMU Sensor Placement</w:t>
      </w:r>
    </w:p>
    <w:p w14:paraId="7893EC59" w14:textId="16153107" w:rsidR="00EF6693"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angle of the tree trunk was tracked using a small, </w:t>
      </w:r>
      <w:proofErr w:type="spellStart"/>
      <w:r>
        <w:rPr>
          <w:rFonts w:ascii="Times New Roman" w:eastAsia="Times New Roman" w:hAnsi="Times New Roman" w:cs="Times New Roman"/>
          <w:sz w:val="24"/>
          <w:szCs w:val="24"/>
        </w:rPr>
        <w:t>bluetooth</w:t>
      </w:r>
      <w:proofErr w:type="spellEnd"/>
      <w:r>
        <w:rPr>
          <w:rFonts w:ascii="Times New Roman" w:eastAsia="Times New Roman" w:hAnsi="Times New Roman" w:cs="Times New Roman"/>
          <w:sz w:val="24"/>
          <w:szCs w:val="24"/>
        </w:rPr>
        <w:t xml:space="preserve"> enabled inertial measurement unit (IMU) sensor (WT901BLECL, </w:t>
      </w:r>
      <w:proofErr w:type="spellStart"/>
      <w:r>
        <w:rPr>
          <w:rFonts w:ascii="Times New Roman" w:eastAsia="Times New Roman" w:hAnsi="Times New Roman" w:cs="Times New Roman"/>
          <w:sz w:val="24"/>
          <w:szCs w:val="24"/>
        </w:rPr>
        <w:t>WitMotion</w:t>
      </w:r>
      <w:proofErr w:type="spellEnd"/>
      <w:r>
        <w:rPr>
          <w:rFonts w:ascii="Times New Roman" w:eastAsia="Times New Roman" w:hAnsi="Times New Roman" w:cs="Times New Roman"/>
          <w:sz w:val="24"/>
          <w:szCs w:val="24"/>
        </w:rPr>
        <w:t xml:space="preserve"> Shenzhen Co., Ltd., Guandong Province, China). The sensor was placed on </w:t>
      </w:r>
      <w:r w:rsidR="00BA14B7">
        <w:rPr>
          <w:rFonts w:ascii="Times New Roman" w:eastAsia="Times New Roman" w:hAnsi="Times New Roman" w:cs="Times New Roman"/>
          <w:sz w:val="24"/>
          <w:szCs w:val="24"/>
        </w:rPr>
        <w:t>windward side of the tree</w:t>
      </w:r>
      <w:r>
        <w:rPr>
          <w:rFonts w:ascii="Times New Roman" w:eastAsia="Times New Roman" w:hAnsi="Times New Roman" w:cs="Times New Roman"/>
          <w:sz w:val="24"/>
          <w:szCs w:val="24"/>
        </w:rPr>
        <w:t>, opposite the direction of ex</w:t>
      </w:r>
      <w:r w:rsidR="00BA14B7">
        <w:rPr>
          <w:rFonts w:ascii="Times New Roman" w:eastAsia="Times New Roman" w:hAnsi="Times New Roman" w:cs="Times New Roman"/>
          <w:sz w:val="24"/>
          <w:szCs w:val="24"/>
        </w:rPr>
        <w:t>traction</w:t>
      </w:r>
      <w:r>
        <w:rPr>
          <w:rFonts w:ascii="Times New Roman" w:eastAsia="Times New Roman" w:hAnsi="Times New Roman" w:cs="Times New Roman"/>
          <w:sz w:val="24"/>
          <w:szCs w:val="24"/>
        </w:rPr>
        <w:t xml:space="preserve">, in line </w:t>
      </w:r>
      <w:r>
        <w:rPr>
          <w:rFonts w:ascii="Times New Roman" w:eastAsia="Times New Roman" w:hAnsi="Times New Roman" w:cs="Times New Roman"/>
          <w:sz w:val="24"/>
          <w:szCs w:val="24"/>
        </w:rPr>
        <w:lastRenderedPageBreak/>
        <w:t xml:space="preserve">with the cable setup. Care was taken to place the sensor on a vertical, straight section of the tree trunk which was representative of the overall direction of trunk. Data from the IMU was collected during the entire excavation process using the </w:t>
      </w:r>
      <w:proofErr w:type="spellStart"/>
      <w:r>
        <w:rPr>
          <w:rFonts w:ascii="Times New Roman" w:eastAsia="Times New Roman" w:hAnsi="Times New Roman" w:cs="Times New Roman"/>
          <w:sz w:val="24"/>
          <w:szCs w:val="24"/>
        </w:rPr>
        <w:t>WitMotion</w:t>
      </w:r>
      <w:proofErr w:type="spellEnd"/>
      <w:r>
        <w:rPr>
          <w:rFonts w:ascii="Times New Roman" w:eastAsia="Times New Roman" w:hAnsi="Times New Roman" w:cs="Times New Roman"/>
          <w:sz w:val="24"/>
          <w:szCs w:val="24"/>
        </w:rPr>
        <w:t xml:space="preserve"> application on an Android tablet.</w:t>
      </w:r>
    </w:p>
    <w:p w14:paraId="72A3D3EC" w14:textId="77777777" w:rsidR="00EF6693" w:rsidRDefault="00EF6693">
      <w:pPr>
        <w:spacing w:after="0"/>
        <w:rPr>
          <w:rFonts w:ascii="Times New Roman" w:eastAsia="Times New Roman" w:hAnsi="Times New Roman" w:cs="Times New Roman"/>
          <w:sz w:val="24"/>
          <w:szCs w:val="24"/>
        </w:rPr>
      </w:pPr>
    </w:p>
    <w:p w14:paraId="56D550F1"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t>Camera Setup and Video Footage</w:t>
      </w:r>
    </w:p>
    <w:p w14:paraId="1FF0CCD2" w14:textId="614D0B90" w:rsidR="00B81B21" w:rsidRDefault="00B81B21">
      <w:pPr>
        <w:pStyle w:val="Heading3"/>
        <w:rPr>
          <w:rFonts w:ascii="Times New Roman" w:eastAsia="Times New Roman" w:hAnsi="Times New Roman" w:cs="Times New Roman"/>
          <w:color w:val="auto"/>
        </w:rPr>
      </w:pPr>
      <w:r w:rsidRPr="00B81B21">
        <w:rPr>
          <w:rFonts w:ascii="Times New Roman" w:eastAsia="Times New Roman" w:hAnsi="Times New Roman" w:cs="Times New Roman"/>
          <w:color w:val="auto"/>
        </w:rPr>
        <w:t xml:space="preserve">To record tree pulling, </w:t>
      </w:r>
      <w:r w:rsidR="005F38F1">
        <w:rPr>
          <w:rFonts w:ascii="Times New Roman" w:eastAsia="Times New Roman" w:hAnsi="Times New Roman" w:cs="Times New Roman"/>
          <w:color w:val="auto"/>
        </w:rPr>
        <w:t>we aligned a tripod</w:t>
      </w:r>
      <w:r w:rsidR="009D088A">
        <w:rPr>
          <w:rFonts w:ascii="Times New Roman" w:eastAsia="Times New Roman" w:hAnsi="Times New Roman" w:cs="Times New Roman"/>
          <w:color w:val="auto"/>
        </w:rPr>
        <w:t>-</w:t>
      </w:r>
      <w:r w:rsidR="005F38F1">
        <w:rPr>
          <w:rFonts w:ascii="Times New Roman" w:eastAsia="Times New Roman" w:hAnsi="Times New Roman" w:cs="Times New Roman"/>
          <w:color w:val="auto"/>
        </w:rPr>
        <w:t xml:space="preserve">mounted </w:t>
      </w:r>
      <w:r w:rsidR="009D088A">
        <w:rPr>
          <w:rFonts w:ascii="Times New Roman" w:eastAsia="Times New Roman" w:hAnsi="Times New Roman" w:cs="Times New Roman"/>
          <w:color w:val="auto"/>
        </w:rPr>
        <w:t xml:space="preserve">iPhone SE </w:t>
      </w:r>
      <w:r w:rsidR="009D088A" w:rsidRPr="00B81B21">
        <w:rPr>
          <w:rFonts w:ascii="Times New Roman" w:eastAsia="Times New Roman" w:hAnsi="Times New Roman" w:cs="Times New Roman"/>
          <w:color w:val="auto"/>
        </w:rPr>
        <w:t>(Apple Inc., CA</w:t>
      </w:r>
      <w:r w:rsidR="009D088A">
        <w:rPr>
          <w:rFonts w:ascii="Times New Roman" w:eastAsia="Times New Roman" w:hAnsi="Times New Roman" w:cs="Times New Roman"/>
          <w:color w:val="auto"/>
        </w:rPr>
        <w:t>)</w:t>
      </w:r>
      <w:r w:rsidR="000F0542">
        <w:rPr>
          <w:rFonts w:ascii="Times New Roman" w:eastAsia="Times New Roman" w:hAnsi="Times New Roman" w:cs="Times New Roman"/>
          <w:color w:val="auto"/>
        </w:rPr>
        <w:t xml:space="preserve"> 20 feet away from the tree and orthogonal to the pulling cable.</w:t>
      </w:r>
      <w:r w:rsidRPr="00B81B21">
        <w:rPr>
          <w:rFonts w:ascii="Times New Roman" w:eastAsia="Times New Roman" w:hAnsi="Times New Roman" w:cs="Times New Roman"/>
          <w:color w:val="auto"/>
        </w:rPr>
        <w:t xml:space="preserve"> A ¾-inch PVC pipe was installed vertically</w:t>
      </w:r>
      <w:r w:rsidR="000F0542">
        <w:rPr>
          <w:rFonts w:ascii="Times New Roman" w:eastAsia="Times New Roman" w:hAnsi="Times New Roman" w:cs="Times New Roman"/>
          <w:color w:val="auto"/>
        </w:rPr>
        <w:t xml:space="preserve"> in the soil</w:t>
      </w:r>
      <w:r w:rsidRPr="00B81B21">
        <w:rPr>
          <w:rFonts w:ascii="Times New Roman" w:eastAsia="Times New Roman" w:hAnsi="Times New Roman" w:cs="Times New Roman"/>
          <w:color w:val="auto"/>
        </w:rPr>
        <w:t xml:space="preserve"> 3 feet from the</w:t>
      </w:r>
      <w:r w:rsidR="000F0542">
        <w:rPr>
          <w:rFonts w:ascii="Times New Roman" w:eastAsia="Times New Roman" w:hAnsi="Times New Roman" w:cs="Times New Roman"/>
          <w:color w:val="auto"/>
        </w:rPr>
        <w:t xml:space="preserve"> windward side of the</w:t>
      </w:r>
      <w:r w:rsidRPr="00B81B21">
        <w:rPr>
          <w:rFonts w:ascii="Times New Roman" w:eastAsia="Times New Roman" w:hAnsi="Times New Roman" w:cs="Times New Roman"/>
          <w:color w:val="auto"/>
        </w:rPr>
        <w:t xml:space="preserve"> trunk</w:t>
      </w:r>
      <w:r w:rsidR="000F0542">
        <w:rPr>
          <w:rFonts w:ascii="Times New Roman" w:eastAsia="Times New Roman" w:hAnsi="Times New Roman" w:cs="Times New Roman"/>
          <w:color w:val="auto"/>
        </w:rPr>
        <w:t>,</w:t>
      </w:r>
      <w:r w:rsidRPr="00B81B21">
        <w:rPr>
          <w:rFonts w:ascii="Times New Roman" w:eastAsia="Times New Roman" w:hAnsi="Times New Roman" w:cs="Times New Roman"/>
          <w:color w:val="auto"/>
        </w:rPr>
        <w:t xml:space="preserve"> with black markings at the top and 16 inches below to serve as an internal scale. Only the marked section remained visible above ground. All video footage was captured at 30 frames per second.</w:t>
      </w:r>
    </w:p>
    <w:p w14:paraId="41B3C54A" w14:textId="77777777" w:rsidR="00B81B21" w:rsidRDefault="00B81B21">
      <w:pPr>
        <w:pStyle w:val="Heading3"/>
        <w:rPr>
          <w:rFonts w:ascii="Times New Roman" w:eastAsia="Times New Roman" w:hAnsi="Times New Roman" w:cs="Times New Roman"/>
          <w:color w:val="auto"/>
        </w:rPr>
      </w:pPr>
    </w:p>
    <w:p w14:paraId="63581A5D" w14:textId="0BE8E62A"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t xml:space="preserve">Tree </w:t>
      </w:r>
      <w:r w:rsidR="00463F94">
        <w:rPr>
          <w:rFonts w:ascii="Times New Roman" w:eastAsia="Times New Roman" w:hAnsi="Times New Roman" w:cs="Times New Roman"/>
        </w:rPr>
        <w:t>Pulling</w:t>
      </w:r>
      <w:r>
        <w:rPr>
          <w:rFonts w:ascii="Times New Roman" w:eastAsia="Times New Roman" w:hAnsi="Times New Roman" w:cs="Times New Roman"/>
        </w:rPr>
        <w:t xml:space="preserve"> Process</w:t>
      </w:r>
    </w:p>
    <w:p w14:paraId="1283F614" w14:textId="0AC8A941" w:rsidR="00EF6693" w:rsidRDefault="009A0A6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leeward side of the tree trunk was marked in </w:t>
      </w:r>
      <w:r w:rsidR="00BC63E6">
        <w:rPr>
          <w:rFonts w:ascii="Times New Roman" w:eastAsia="Times New Roman" w:hAnsi="Times New Roman" w:cs="Times New Roman"/>
          <w:sz w:val="24"/>
          <w:szCs w:val="24"/>
        </w:rPr>
        <w:t>a permanent</w:t>
      </w:r>
      <w:r>
        <w:rPr>
          <w:rFonts w:ascii="Times New Roman" w:eastAsia="Times New Roman" w:hAnsi="Times New Roman" w:cs="Times New Roman"/>
          <w:sz w:val="24"/>
          <w:szCs w:val="24"/>
        </w:rPr>
        <w:t xml:space="preserve"> marker to</w:t>
      </w:r>
      <w:r w:rsidR="00BC63E6">
        <w:rPr>
          <w:rFonts w:ascii="Times New Roman" w:eastAsia="Times New Roman" w:hAnsi="Times New Roman" w:cs="Times New Roman"/>
          <w:sz w:val="24"/>
          <w:szCs w:val="24"/>
        </w:rPr>
        <w:t xml:space="preserve"> indicate the direction of excavation. </w:t>
      </w:r>
      <w:r w:rsidR="00BC63E6">
        <w:rPr>
          <w:rFonts w:ascii="Times New Roman" w:eastAsia="Times New Roman" w:hAnsi="Times New Roman" w:cs="Times New Roman"/>
          <w:sz w:val="24"/>
          <w:szCs w:val="24"/>
        </w:rPr>
        <w:t xml:space="preserve">Additionally, we marked a horizontal line at the base of the trunk to indicate the </w:t>
      </w:r>
      <w:r w:rsidR="00BC63E6">
        <w:rPr>
          <w:rFonts w:ascii="Times New Roman" w:eastAsia="Times New Roman" w:hAnsi="Times New Roman" w:cs="Times New Roman"/>
          <w:i/>
          <w:sz w:val="24"/>
          <w:szCs w:val="24"/>
        </w:rPr>
        <w:t>in situ</w:t>
      </w:r>
      <w:r w:rsidR="00BC63E6">
        <w:rPr>
          <w:rFonts w:ascii="Times New Roman" w:eastAsia="Times New Roman" w:hAnsi="Times New Roman" w:cs="Times New Roman"/>
          <w:sz w:val="24"/>
          <w:szCs w:val="24"/>
        </w:rPr>
        <w:t xml:space="preserve"> soil level.</w:t>
      </w:r>
      <w:r w:rsidR="00BC63E6">
        <w:rPr>
          <w:rFonts w:ascii="Times New Roman" w:eastAsia="Times New Roman" w:hAnsi="Times New Roman" w:cs="Times New Roman"/>
          <w:sz w:val="24"/>
          <w:szCs w:val="24"/>
        </w:rPr>
        <w:t xml:space="preserve"> </w:t>
      </w:r>
      <w:r w:rsidR="00463F94">
        <w:rPr>
          <w:rFonts w:ascii="Times New Roman" w:eastAsia="Times New Roman" w:hAnsi="Times New Roman" w:cs="Times New Roman"/>
          <w:sz w:val="24"/>
          <w:szCs w:val="24"/>
        </w:rPr>
        <w:t>Trees were extracted by tak</w:t>
      </w:r>
      <w:r w:rsidR="00113763">
        <w:rPr>
          <w:rFonts w:ascii="Times New Roman" w:eastAsia="Times New Roman" w:hAnsi="Times New Roman" w:cs="Times New Roman"/>
          <w:sz w:val="24"/>
          <w:szCs w:val="24"/>
        </w:rPr>
        <w:t xml:space="preserve">ing the </w:t>
      </w:r>
      <w:r w:rsidR="00000000">
        <w:rPr>
          <w:rFonts w:ascii="Times New Roman" w:eastAsia="Times New Roman" w:hAnsi="Times New Roman" w:cs="Times New Roman"/>
          <w:sz w:val="24"/>
          <w:szCs w:val="24"/>
        </w:rPr>
        <w:t xml:space="preserve">slack out of </w:t>
      </w:r>
      <w:r w:rsidR="00113763">
        <w:rPr>
          <w:rFonts w:ascii="Times New Roman" w:eastAsia="Times New Roman" w:hAnsi="Times New Roman" w:cs="Times New Roman"/>
          <w:sz w:val="24"/>
          <w:szCs w:val="24"/>
        </w:rPr>
        <w:t xml:space="preserve">the </w:t>
      </w:r>
      <w:r w:rsidR="00000000">
        <w:rPr>
          <w:rFonts w:ascii="Times New Roman" w:eastAsia="Times New Roman" w:hAnsi="Times New Roman" w:cs="Times New Roman"/>
          <w:sz w:val="24"/>
          <w:szCs w:val="24"/>
        </w:rPr>
        <w:t>winch cable up to the point where the cable was taught but the force gauge registered 0</w:t>
      </w:r>
      <w:r w:rsidR="00113763">
        <w:rPr>
          <w:rFonts w:ascii="Times New Roman" w:eastAsia="Times New Roman" w:hAnsi="Times New Roman" w:cs="Times New Roman"/>
          <w:sz w:val="24"/>
          <w:szCs w:val="24"/>
        </w:rPr>
        <w:t>N</w:t>
      </w:r>
      <w:r w:rsidR="00000000">
        <w:rPr>
          <w:rFonts w:ascii="Times New Roman" w:eastAsia="Times New Roman" w:hAnsi="Times New Roman" w:cs="Times New Roman"/>
          <w:sz w:val="24"/>
          <w:szCs w:val="24"/>
        </w:rPr>
        <w:t xml:space="preserve">. After </w:t>
      </w:r>
      <w:r w:rsidR="00BC63E6">
        <w:rPr>
          <w:rFonts w:ascii="Times New Roman" w:eastAsia="Times New Roman" w:hAnsi="Times New Roman" w:cs="Times New Roman"/>
          <w:sz w:val="24"/>
          <w:szCs w:val="24"/>
        </w:rPr>
        <w:t xml:space="preserve">initiating the </w:t>
      </w:r>
      <w:r w:rsidR="001922F2">
        <w:rPr>
          <w:rFonts w:ascii="Times New Roman" w:eastAsia="Times New Roman" w:hAnsi="Times New Roman" w:cs="Times New Roman"/>
          <w:sz w:val="24"/>
          <w:szCs w:val="24"/>
        </w:rPr>
        <w:t>logging devices, t</w:t>
      </w:r>
      <w:r w:rsidR="00000000">
        <w:rPr>
          <w:rFonts w:ascii="Times New Roman" w:eastAsia="Times New Roman" w:hAnsi="Times New Roman" w:cs="Times New Roman"/>
          <w:sz w:val="24"/>
          <w:szCs w:val="24"/>
        </w:rPr>
        <w:t xml:space="preserve">he tree was excavated from the soil by engaging the winch at a constant rate until the entire root system of the tree was out of the soil and the force value had stabilized to a low, constant value. </w:t>
      </w:r>
    </w:p>
    <w:p w14:paraId="6925FC9A" w14:textId="7BF1A554"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ex</w:t>
      </w:r>
      <w:r w:rsidR="001922F2">
        <w:rPr>
          <w:rFonts w:ascii="Times New Roman" w:eastAsia="Times New Roman" w:hAnsi="Times New Roman" w:cs="Times New Roman"/>
          <w:sz w:val="24"/>
          <w:szCs w:val="24"/>
        </w:rPr>
        <w:t>traction</w:t>
      </w:r>
      <w:r>
        <w:rPr>
          <w:rFonts w:ascii="Times New Roman" w:eastAsia="Times New Roman" w:hAnsi="Times New Roman" w:cs="Times New Roman"/>
          <w:sz w:val="24"/>
          <w:szCs w:val="24"/>
        </w:rPr>
        <w:t>, the root system was cut off from the tree canopy just below the eyebolts with an arborist saw</w:t>
      </w:r>
      <w:r w:rsidR="00B828E1">
        <w:rPr>
          <w:rFonts w:ascii="Times New Roman" w:eastAsia="Times New Roman" w:hAnsi="Times New Roman" w:cs="Times New Roman"/>
          <w:sz w:val="24"/>
          <w:szCs w:val="24"/>
        </w:rPr>
        <w:t>, and recorded the tree ID on the stem surface with a marker</w:t>
      </w:r>
      <w:r>
        <w:rPr>
          <w:rFonts w:ascii="Times New Roman" w:eastAsia="Times New Roman" w:hAnsi="Times New Roman" w:cs="Times New Roman"/>
          <w:sz w:val="24"/>
          <w:szCs w:val="24"/>
        </w:rPr>
        <w:t xml:space="preserve">. We took care not to modify the root system. However, some extremely long roots had to be pruned off in the field. The root systems were stored in a dry, </w:t>
      </w:r>
      <w:r w:rsidR="003C73DA">
        <w:rPr>
          <w:rFonts w:ascii="Times New Roman" w:eastAsia="Times New Roman" w:hAnsi="Times New Roman" w:cs="Times New Roman"/>
          <w:sz w:val="24"/>
          <w:szCs w:val="24"/>
        </w:rPr>
        <w:t>air-conditioned</w:t>
      </w:r>
      <w:r>
        <w:rPr>
          <w:rFonts w:ascii="Times New Roman" w:eastAsia="Times New Roman" w:hAnsi="Times New Roman" w:cs="Times New Roman"/>
          <w:sz w:val="24"/>
          <w:szCs w:val="24"/>
        </w:rPr>
        <w:t xml:space="preserve"> room until the wood had dried.</w:t>
      </w:r>
    </w:p>
    <w:p w14:paraId="46A1B125" w14:textId="77777777" w:rsidR="00EF6693"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Root System Measurements</w:t>
      </w:r>
    </w:p>
    <w:p w14:paraId="4586E290"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roots on each individual root system were manually measured, using a method we developed. First, every root on the root system which had a basal diameter of 5mm or more was numbered sequentially starting at the top of the root system (closest to the soil surface) and working down towards the distal end of the root system. We took a series of measurements in two categories: system level measurements and root segment measurements. </w:t>
      </w:r>
    </w:p>
    <w:p w14:paraId="23D01EAD"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t>Root System Level Measurements</w:t>
      </w:r>
    </w:p>
    <w:p w14:paraId="6EEECFAF"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the root system level measurements, we counted the total number of individual root segments arising from the central portion of the root system, as well as the total number of branching events of smaller root segments off all the main roots. The root crown depth was measured as the vertical, linear distance in cm along the root trunk from the soil surface mark to the lowest portion of the root system. Because the roots of some root systems diverged from each other immediately under the soil surface level, we also measured the “stump depth” which was the vertical, linear distance from the soil surface to the lowest central portion of the root system that was growing together in one direction (See figure X for reference). Finally, we recorded the root system dry mass as a rough proxy for the size of the root system.</w:t>
      </w:r>
    </w:p>
    <w:p w14:paraId="00213025"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lastRenderedPageBreak/>
        <w:t>Root Level Measurements</w:t>
      </w:r>
    </w:p>
    <w:p w14:paraId="0DE408B9"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individual root segment measurements, we recorded the basal diameter in mm at the point where the root emerged from the taproot (or central root structure). We also measured the distal diameter of the same root 10cm away from the emergence point curvilinearly along the root segment. Any branches off that root were noted and contributed to the branching event tally explained above. If the branching root had a basal diameter &gt;= 5mm, then it was treated as a child root segment (i.e. root segment #5 could have child branch segments 5a, 5b, …) and was measured like a main root segment. If the branching root was less than 5mm, it was noted and tallied but not measured further. </w:t>
      </w:r>
    </w:p>
    <w:p w14:paraId="6328E5D0"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account for variations in root growth, we measured the depth of each root segment in two different ways. First, the root segment depth was measured vertically from the soil surface to the midpoint of the root segment where it diverged from the taproot. Secondly, we measured the root segment emergence depth as the vertical depth at which a root, after or at the point of divergence from the taproot, emerged from the central portion of the root system and radiated outward. This measurement was necessary to numerically distinguish roots that diverged from the taproot and immediately grew outward from those which diverged and grew straight down for a distance before radiating outward. Consequently, the variables </w:t>
      </w:r>
      <w:proofErr w:type="spellStart"/>
      <w:r>
        <w:rPr>
          <w:rFonts w:ascii="Times New Roman" w:eastAsia="Times New Roman" w:hAnsi="Times New Roman" w:cs="Times New Roman"/>
          <w:sz w:val="24"/>
          <w:szCs w:val="24"/>
        </w:rPr>
        <w:t>root_segment_depth</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segment_emergence_depth</w:t>
      </w:r>
      <w:proofErr w:type="spellEnd"/>
      <w:r>
        <w:rPr>
          <w:rFonts w:ascii="Times New Roman" w:eastAsia="Times New Roman" w:hAnsi="Times New Roman" w:cs="Times New Roman"/>
          <w:sz w:val="24"/>
          <w:szCs w:val="24"/>
        </w:rPr>
        <w:t>.</w:t>
      </w:r>
    </w:p>
    <w:p w14:paraId="46E00537"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categorically rated each root as either having mainly lateral or vertical root growth, and then either mainly straight or curved growth, where the lateral and vertical, and straight and curved ratings were mutually exclusive of each other. In addition, each root was given a binary score for the following categories: root bound, knotted, broken, and branched. Root bound roots were defined as root segments which circled around the bottom of the root system as shown in figure (INSERT HERE). Knotted roots were those roots which had portions of their length wrapped around themselves or another root segment. Broken roots are segments that broke off during excavation. Finally, branched roots were segments that had at least one branch segment with a diameter &gt;= 5mm, and thus were parent root segments. Any segments that fit into one or more of these categories was scored a 1 for those categories.</w:t>
      </w:r>
    </w:p>
    <w:p w14:paraId="09752504"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we defined the direction of excavation as marked on the tree trunk as the 0° mark. The root system was laid out on a large, printed protractor and the direction of emergence for that segment was marked in degrees from 0 to 359. </w:t>
      </w:r>
    </w:p>
    <w:p w14:paraId="32EF1D03"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t>Root System Imaging</w:t>
      </w:r>
    </w:p>
    <w:p w14:paraId="7F077732"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root system was suspended from a vertical 5W x 3.5H foot frame constructed from 45mm extruded aluminum profilers. A photo backdrop support frame was placed behind the aluminum frame and draped with a heavy, blue screen photography backdrop. Lighting was provided by two adjustable warmth LED panels and two fluorescent photography bulbs fitted with photography diffusers and placed around the front of the scene. Images of the intact root systems were acquired with a Canon EOS Rebel T6 (Canon USA) set up 16 feet in front of the aluminum frame (Figure XXX). </w:t>
      </w:r>
    </w:p>
    <w:p w14:paraId="47634D9B" w14:textId="07035279"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Root systems were imaged in two ways. First, the root systems were suspended horizontally such that the images showed a top down, axial view of the root system to show the radial dispersion</w:t>
      </w:r>
      <w:r w:rsidR="007B0FDE">
        <w:rPr>
          <w:rFonts w:ascii="Times New Roman" w:eastAsia="Times New Roman" w:hAnsi="Times New Roman" w:cs="Times New Roman"/>
          <w:sz w:val="24"/>
          <w:szCs w:val="24"/>
        </w:rPr>
        <w:t xml:space="preserve"> of the lateral roots</w:t>
      </w:r>
      <w:r w:rsidR="00896C46">
        <w:rPr>
          <w:rFonts w:ascii="Times New Roman" w:eastAsia="Times New Roman" w:hAnsi="Times New Roman" w:cs="Times New Roman"/>
          <w:sz w:val="24"/>
          <w:szCs w:val="24"/>
        </w:rPr>
        <w:t xml:space="preserve"> oriented such that the leeward side of each tree was aligned </w:t>
      </w:r>
      <w:r w:rsidR="002060EF">
        <w:rPr>
          <w:rFonts w:ascii="Times New Roman" w:eastAsia="Times New Roman" w:hAnsi="Times New Roman" w:cs="Times New Roman"/>
          <w:sz w:val="24"/>
          <w:szCs w:val="24"/>
        </w:rPr>
        <w:t xml:space="preserve">due right in the image frame. </w:t>
      </w:r>
      <w:r>
        <w:rPr>
          <w:rFonts w:ascii="Times New Roman" w:eastAsia="Times New Roman" w:hAnsi="Times New Roman" w:cs="Times New Roman"/>
          <w:sz w:val="24"/>
          <w:szCs w:val="24"/>
        </w:rPr>
        <w:t>Secondly, root systems were imaged in a vertical position suspended from the frame by a threaded photography quick connect clamp (Triad Orbit IO-C, USA). The coupling was threaded into a small pilot hole into the top of the tree trunk and attached to the clamp. Blue masking tape was wrapped around the portion of the tree trunk which was above the soil level. The hexagonal quick-connect coupling allowed for the root system to be rotated in a total of six different positions in 60° increments and the root system was imaged once in each position.</w:t>
      </w:r>
      <w:r w:rsidR="00E30832">
        <w:rPr>
          <w:rFonts w:ascii="Times New Roman" w:eastAsia="Times New Roman" w:hAnsi="Times New Roman" w:cs="Times New Roman"/>
          <w:sz w:val="24"/>
          <w:szCs w:val="24"/>
        </w:rPr>
        <w:t xml:space="preserve"> Additionally, we acquired scale images at the beginning of each photo session</w:t>
      </w:r>
      <w:r>
        <w:rPr>
          <w:rFonts w:ascii="Times New Roman" w:eastAsia="Times New Roman" w:hAnsi="Times New Roman" w:cs="Times New Roman"/>
          <w:sz w:val="24"/>
          <w:szCs w:val="24"/>
        </w:rPr>
        <w:t xml:space="preserve"> provide a </w:t>
      </w:r>
      <w:proofErr w:type="spellStart"/>
      <w:r>
        <w:rPr>
          <w:rFonts w:ascii="Times New Roman" w:eastAsia="Times New Roman" w:hAnsi="Times New Roman" w:cs="Times New Roman"/>
          <w:sz w:val="24"/>
          <w:szCs w:val="24"/>
        </w:rPr>
        <w:t>cm:pixel</w:t>
      </w:r>
      <w:proofErr w:type="spellEnd"/>
      <w:r>
        <w:rPr>
          <w:rFonts w:ascii="Times New Roman" w:eastAsia="Times New Roman" w:hAnsi="Times New Roman" w:cs="Times New Roman"/>
          <w:sz w:val="24"/>
          <w:szCs w:val="24"/>
        </w:rPr>
        <w:t xml:space="preserve"> mapping ratio for use in image analysis.</w:t>
      </w:r>
    </w:p>
    <w:p w14:paraId="7E5C8B5F" w14:textId="77777777" w:rsidR="00EF6693"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Excavation Data Preprocessing</w:t>
      </w:r>
    </w:p>
    <w:p w14:paraId="2407E644" w14:textId="67A8464F"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from force profile, the IMU sensor log, and the video frames from each tree excavation</w:t>
      </w:r>
      <w:r w:rsidR="00754A05">
        <w:rPr>
          <w:rFonts w:ascii="Times New Roman" w:eastAsia="Times New Roman" w:hAnsi="Times New Roman" w:cs="Times New Roman"/>
          <w:sz w:val="24"/>
          <w:szCs w:val="24"/>
        </w:rPr>
        <w:t xml:space="preserve"> required time signature alignmen</w:t>
      </w:r>
      <w:r w:rsidR="009852CF">
        <w:rPr>
          <w:rFonts w:ascii="Times New Roman" w:eastAsia="Times New Roman" w:hAnsi="Times New Roman" w:cs="Times New Roman"/>
          <w:sz w:val="24"/>
          <w:szCs w:val="24"/>
        </w:rPr>
        <w:t>t</w:t>
      </w:r>
      <w:r>
        <w:rPr>
          <w:rFonts w:ascii="Times New Roman" w:eastAsia="Times New Roman" w:hAnsi="Times New Roman" w:cs="Times New Roman"/>
          <w:sz w:val="24"/>
          <w:szCs w:val="24"/>
        </w:rPr>
        <w:t>.</w:t>
      </w:r>
      <w:r w:rsidR="009852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Because the</w:t>
      </w:r>
      <w:r w:rsidR="009852CF">
        <w:rPr>
          <w:rFonts w:ascii="Times New Roman" w:eastAsia="Times New Roman" w:hAnsi="Times New Roman" w:cs="Times New Roman"/>
          <w:sz w:val="24"/>
          <w:szCs w:val="24"/>
        </w:rPr>
        <w:t xml:space="preserve"> start times and</w:t>
      </w:r>
      <w:r>
        <w:rPr>
          <w:rFonts w:ascii="Times New Roman" w:eastAsia="Times New Roman" w:hAnsi="Times New Roman" w:cs="Times New Roman"/>
          <w:sz w:val="24"/>
          <w:szCs w:val="24"/>
        </w:rPr>
        <w:t xml:space="preserve"> sampling rates differed slightly between the different data streams, the values were merged on the nearest timestamp, and then resampled with linear interpretation using the Python library, ‘pandas’ (Pandas Citation) with the video stream time series as the reference. This resulted in a table of ordered, equal interval time series with a measured force value in Newtons along with a trunk angle measured in degrees. Due to technical issues with the winch and sensors during the excavation of field trial 1, we were only able to conduct the excavation force profile analysis using this data for field trial 2.</w:t>
      </w:r>
    </w:p>
    <w:p w14:paraId="1E0BDE91" w14:textId="77777777" w:rsidR="00EF6693"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Image Analysis</w:t>
      </w:r>
    </w:p>
    <w:p w14:paraId="7ABB5364"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was extracted from the image datasets using OpenCV,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and SciPy in Python 3.11 (Citations). Radial and vertical root images were processed separately as described in the sections following.</w:t>
      </w:r>
    </w:p>
    <w:p w14:paraId="7E557D24"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t>Radial Root Image Processing</w:t>
      </w:r>
    </w:p>
    <w:p w14:paraId="11E9BB52"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Radial root system images were preprocessed as follows. We used the Hough circles algorithm to detect the blue dot in the center of each tree trunk to get the exact pixel coordinates of the central portion of the root system. Then we converted the image to the HSV color space to allow for easier thresholding of the foreground. A binary mask of the roots was calculated by dynamically setting upper and lower threshold limits around the blue range peak in each image. Each root system was digitally pruned at a radius of 30cm from the center of the trunk such that any roots outside of that range would not contribute to the analysis. We calculated several system level values on each cropped root system. First, we calculated the area of the convex hull around the cropped roots and the total area of the root system within the convex hull. The root system solidity was calculated as </w:t>
      </w:r>
      <w:proofErr w:type="spellStart"/>
      <w:r>
        <w:rPr>
          <w:rFonts w:ascii="Times New Roman" w:eastAsia="Times New Roman" w:hAnsi="Times New Roman" w:cs="Times New Roman"/>
          <w:sz w:val="24"/>
          <w:szCs w:val="24"/>
        </w:rPr>
        <w:t>root_system_area</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convex_hull_area</w:t>
      </w:r>
      <w:proofErr w:type="spellEnd"/>
      <w:r>
        <w:rPr>
          <w:rFonts w:ascii="Times New Roman" w:eastAsia="Times New Roman" w:hAnsi="Times New Roman" w:cs="Times New Roman"/>
          <w:sz w:val="24"/>
          <w:szCs w:val="24"/>
        </w:rPr>
        <w:t xml:space="preserve">. </w:t>
      </w:r>
    </w:p>
    <w:p w14:paraId="6B133EED"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Each binary image was then divided into 90 slices in 4° intervals from the center of the trunk extending out to the pruning radius of 30cm. Secondly, the image was sliced outward in 1cm increments from 0-30cm such that the entire root system was divided into 2700 polar quadrants around the center. We calculated the root density in each of these quadrants as the number of root pixels in the quadrant divided by the total number of pixels in the quadrant.</w:t>
      </w:r>
    </w:p>
    <w:p w14:paraId="2C10FFBB"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Root system symmetry was estimated using a standardized approach. The first two moments of the pixels in the x and y dimensions were calculated and used to standardize both cardinal dimensions in the image. The mean x and y pixel coordinates represent the calculated center of the root system as an offset compared to the center of the tree as detected by Hough circles. Next, we performed a principal component analysis of the standardized root pixels and calculated the proportion of explained variance between PC1 and PC2. We calculated the root system asymmetry as follows. </w:t>
      </w:r>
    </w:p>
    <w:p w14:paraId="64C33C40" w14:textId="77777777" w:rsidR="00EF6693" w:rsidRDefault="00000000">
      <w:pPr>
        <w:jc w:val="center"/>
        <w:rPr>
          <w:rFonts w:ascii="Times New Roman" w:eastAsia="Times New Roman" w:hAnsi="Times New Roman" w:cs="Times New Roman"/>
          <w:sz w:val="24"/>
          <w:szCs w:val="24"/>
        </w:rP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var</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e>
          </m:d>
        </m:oMath>
      </m:oMathPara>
    </w:p>
    <w:p w14:paraId="0215B657"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λ</w:t>
      </w:r>
      <w:r>
        <w:rPr>
          <w:rFonts w:ascii="Times New Roman" w:eastAsia="Times New Roman" w:hAnsi="Times New Roman" w:cs="Times New Roman"/>
          <w:sz w:val="24"/>
          <w:szCs w:val="24"/>
          <w:vertAlign w:val="subscript"/>
        </w:rPr>
        <w:t>i</w:t>
      </w:r>
      <w:proofErr w:type="spellEnd"/>
      <w:r>
        <w:rPr>
          <w:rFonts w:ascii="Times New Roman" w:eastAsia="Times New Roman" w:hAnsi="Times New Roman" w:cs="Times New Roman"/>
          <w:sz w:val="24"/>
          <w:szCs w:val="24"/>
        </w:rPr>
        <w:t xml:space="preserve"> is the proportion of explained variance for the </w:t>
      </w:r>
      <w:proofErr w:type="spellStart"/>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perscript"/>
        </w:rPr>
        <w:t>th</w:t>
      </w:r>
      <w:proofErr w:type="spellEnd"/>
      <w:r>
        <w:rPr>
          <w:rFonts w:ascii="Times New Roman" w:eastAsia="Times New Roman" w:hAnsi="Times New Roman" w:cs="Times New Roman"/>
          <w:sz w:val="24"/>
          <w:szCs w:val="24"/>
        </w:rPr>
        <w:t xml:space="preserve"> principal component. Then we calculated the asymmetry index as</w:t>
      </w:r>
    </w:p>
    <w:p w14:paraId="10F44DC2" w14:textId="77777777" w:rsidR="00EF6693" w:rsidRDefault="00000000">
      <w:pPr>
        <w:jc w:val="center"/>
        <w:rPr>
          <w:rFonts w:ascii="Times New Roman" w:eastAsia="Times New Roman" w:hAnsi="Times New Roman" w:cs="Times New Roman"/>
          <w:sz w:val="24"/>
          <w:szCs w:val="24"/>
        </w:rPr>
      </w:pPr>
      <m:oMathPara>
        <m:oMathParaPr>
          <m:jc m:val="center"/>
        </m:oMathParaPr>
        <m:oMath>
          <m:r>
            <w:rPr>
              <w:rFonts w:ascii="Cambria Math" w:hAnsi="Cambria Math"/>
            </w:rPr>
            <m:t>ASI=α</m:t>
          </m:r>
          <m:sSub>
            <m:sSubPr>
              <m:ctrlPr>
                <w:rPr>
                  <w:rFonts w:ascii="Cambria Math" w:hAnsi="Cambria Math"/>
                </w:rPr>
              </m:ctrlPr>
            </m:sSubPr>
            <m:e>
              <m:r>
                <w:rPr>
                  <w:rFonts w:ascii="Cambria Math" w:hAnsi="Cambria Math"/>
                </w:rPr>
                <m:t>A</m:t>
              </m:r>
            </m:e>
            <m:sub>
              <m:r>
                <w:rPr>
                  <w:rFonts w:ascii="Cambria Math" w:hAnsi="Cambria Math"/>
                </w:rPr>
                <m:t>var</m:t>
              </m:r>
            </m:sub>
          </m:sSub>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offset</m:t>
              </m:r>
            </m:sub>
          </m:sSub>
        </m:oMath>
      </m:oMathPara>
    </w:p>
    <w:p w14:paraId="2556427D"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α and β are weight parameters that sum to 1 and </w:t>
      </w:r>
      <w:proofErr w:type="spellStart"/>
      <w:r>
        <w:rPr>
          <w:rFonts w:ascii="Times New Roman" w:eastAsia="Times New Roman" w:hAnsi="Times New Roman" w:cs="Times New Roman"/>
          <w:i/>
          <w:sz w:val="24"/>
          <w:szCs w:val="24"/>
        </w:rPr>
        <w:t>D</w:t>
      </w:r>
      <w:r>
        <w:rPr>
          <w:rFonts w:ascii="Times New Roman" w:eastAsia="Times New Roman" w:hAnsi="Times New Roman" w:cs="Times New Roman"/>
          <w:i/>
          <w:sz w:val="24"/>
          <w:szCs w:val="24"/>
          <w:vertAlign w:val="subscript"/>
        </w:rPr>
        <w:t>offset</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is the standardized Euclidean distance between the center of the root system and the calculated mean of the root system pixels. Finally, the index is bound in the interval [0, 1] by the transformation</w:t>
      </w:r>
    </w:p>
    <w:p w14:paraId="42B330E6" w14:textId="77777777" w:rsidR="00EF6693" w:rsidRDefault="00000000">
      <w:pPr>
        <w:jc w:val="center"/>
        <w:rPr>
          <w:rFonts w:ascii="Times New Roman" w:eastAsia="Times New Roman" w:hAnsi="Times New Roman" w:cs="Times New Roman"/>
          <w:sz w:val="24"/>
          <w:szCs w:val="24"/>
        </w:rPr>
      </w:pPr>
      <m:oMathPara>
        <m:oMathParaPr>
          <m:jc m:val="center"/>
        </m:oMathParaPr>
        <m:oMath>
          <m:sSub>
            <m:sSubPr>
              <m:ctrlPr>
                <w:rPr>
                  <w:rFonts w:ascii="Cambria Math" w:hAnsi="Cambria Math"/>
                </w:rPr>
              </m:ctrlPr>
            </m:sSubPr>
            <m:e>
              <m:r>
                <w:rPr>
                  <w:rFonts w:ascii="Cambria Math" w:hAnsi="Cambria Math"/>
                </w:rPr>
                <m:t>ASI</m:t>
              </m:r>
            </m:e>
            <m:sub>
              <m:r>
                <w:rPr>
                  <w:rFonts w:ascii="Cambria Math" w:hAnsi="Cambria Math"/>
                </w:rPr>
                <m:t>bound</m:t>
              </m:r>
            </m:sub>
          </m:sSub>
          <m:r>
            <w:rPr>
              <w:rFonts w:ascii="Cambria Math" w:hAnsi="Cambria Math"/>
            </w:rPr>
            <m:t>=</m:t>
          </m:r>
          <m:f>
            <m:fPr>
              <m:ctrlPr>
                <w:rPr>
                  <w:rFonts w:ascii="Cambria Math" w:hAnsi="Cambria Math"/>
                </w:rPr>
              </m:ctrlPr>
            </m:fPr>
            <m:num>
              <m:r>
                <w:rPr>
                  <w:rFonts w:ascii="Cambria Math" w:hAnsi="Cambria Math"/>
                </w:rPr>
                <m:t>ASI</m:t>
              </m:r>
            </m:num>
            <m:den>
              <m:r>
                <w:rPr>
                  <w:rFonts w:ascii="Cambria Math" w:hAnsi="Cambria Math"/>
                </w:rPr>
                <m:t>1+ASI</m:t>
              </m:r>
            </m:den>
          </m:f>
        </m:oMath>
      </m:oMathPara>
    </w:p>
    <w:p w14:paraId="4DFCE6A9"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outputs values between 0 and 1 with values closer to 0 indicating well formed, symmetric root systems and values closer to 1 indicating highly asymmetric root systems. </w:t>
      </w:r>
    </w:p>
    <w:p w14:paraId="408B24B1"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t>Vertical Root Image Processing</w:t>
      </w:r>
    </w:p>
    <w:p w14:paraId="1BB16B2D"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Images of vertical root systems were processed by converting to the HSV color space, removing the background by adaptive thresholding, and then creating a binary mask of dimensions M x N. Since the root system was masked with blue tape at the soil level mark, we calculated the soil level pixel depth in the image as the smallest row index </w:t>
      </w:r>
      <m:oMath>
        <m:sSup>
          <m:sSupPr>
            <m:ctrlPr>
              <w:rPr>
                <w:rFonts w:ascii="Cambria Math" w:hAnsi="Cambria Math"/>
              </w:rPr>
            </m:ctrlPr>
          </m:sSupPr>
          <m:e>
            <m:r>
              <w:rPr>
                <w:rFonts w:ascii="Cambria Math" w:hAnsi="Cambria Math"/>
              </w:rPr>
              <m:t>i</m:t>
            </m:r>
          </m:e>
          <m:sup/>
        </m:sSup>
      </m:oMath>
      <w:r>
        <w:rPr>
          <w:rFonts w:ascii="Times New Roman" w:eastAsia="Times New Roman" w:hAnsi="Times New Roman" w:cs="Times New Roman"/>
          <w:sz w:val="24"/>
          <w:szCs w:val="24"/>
        </w:rPr>
        <w:t>with any non-zero pixels</w:t>
      </w:r>
    </w:p>
    <w:p w14:paraId="27B5D067" w14:textId="77777777" w:rsidR="00EF6693" w:rsidRDefault="00000000">
      <w:pPr>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i</m:t>
              </m:r>
            </m:e>
            <m:sup/>
          </m:sSup>
          <m:r>
            <w:rPr>
              <w:rFonts w:ascii="Cambria Math" w:hAnsi="Cambria Math"/>
            </w:rPr>
            <m:t>=min⁡{i∨</m:t>
          </m:r>
          <m:nary>
            <m:naryPr>
              <m:chr m:val="∑"/>
              <m:ctrlPr>
                <w:rPr>
                  <w:rFonts w:ascii="Cambria Math" w:hAnsi="Cambria Math"/>
                </w:rPr>
              </m:ctrlPr>
            </m:naryPr>
            <m:sub>
              <m:r>
                <w:rPr>
                  <w:rFonts w:ascii="Cambria Math" w:hAnsi="Cambria Math"/>
                </w:rPr>
                <m:t>j=0</m:t>
              </m:r>
            </m:sub>
            <m:sup>
              <m:r>
                <w:rPr>
                  <w:rFonts w:ascii="Cambria Math" w:hAnsi="Cambria Math"/>
                </w:rPr>
                <m:t>N-1</m:t>
              </m:r>
            </m:sup>
            <m:e>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≠0</m:t>
                  </m:r>
                </m:e>
              </m:d>
              <m:r>
                <w:rPr>
                  <w:rFonts w:ascii="Cambria Math" w:hAnsi="Cambria Math"/>
                </w:rPr>
                <m:t>&gt;0}</m:t>
              </m:r>
            </m:e>
          </m:nary>
        </m:oMath>
      </m:oMathPara>
    </w:p>
    <w:p w14:paraId="028B6E88"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binary mask was then used to estimate the depth of the theoretical root plate, which we defined as the vertical depth along the root system corresponding to the 50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percentile of the root mass. Briefly, to calculate this we found the pixel depth in an image that corresponded to the soil level for each image in a given root system’s set of </w:t>
      </w:r>
      <m:oMath>
        <m:r>
          <w:rPr>
            <w:rFonts w:ascii="Cambria Math" w:hAnsi="Cambria Math"/>
          </w:rPr>
          <m:t>k=6</m:t>
        </m:r>
      </m:oMath>
      <w:r>
        <w:rPr>
          <w:rFonts w:ascii="Times New Roman" w:eastAsia="Times New Roman" w:hAnsi="Times New Roman" w:cs="Times New Roman"/>
          <w:sz w:val="24"/>
          <w:szCs w:val="24"/>
        </w:rPr>
        <w:t xml:space="preserve"> images, and then summed the total number of non-zero pixels along the depth dimension (M) offset by </w:t>
      </w:r>
      <m:oMath>
        <m:sSup>
          <m:sSupPr>
            <m:ctrlPr>
              <w:rPr>
                <w:rFonts w:ascii="Cambria Math" w:hAnsi="Cambria Math"/>
              </w:rPr>
            </m:ctrlPr>
          </m:sSupPr>
          <m:e>
            <m:r>
              <w:rPr>
                <w:rFonts w:ascii="Cambria Math" w:hAnsi="Cambria Math"/>
              </w:rPr>
              <m:t>i</m:t>
            </m:r>
          </m:e>
          <m:sup/>
        </m:sSup>
      </m:oMath>
      <w:r>
        <w:rPr>
          <w:rFonts w:ascii="Times New Roman" w:eastAsia="Times New Roman" w:hAnsi="Times New Roman" w:cs="Times New Roman"/>
          <w:sz w:val="24"/>
          <w:szCs w:val="24"/>
        </w:rPr>
        <w:t xml:space="preserve"> to get a vector </w:t>
      </w:r>
      <m:oMath>
        <m:sSub>
          <m:sSubPr>
            <m:ctrlPr>
              <w:rPr>
                <w:rFonts w:ascii="Cambria Math" w:hAnsi="Cambria Math"/>
              </w:rPr>
            </m:ctrlPr>
          </m:sSubPr>
          <m:e>
            <m:r>
              <w:rPr>
                <w:rFonts w:ascii="Cambria Math" w:hAnsi="Cambria Math"/>
              </w:rPr>
              <m:t>Z</m:t>
            </m:r>
          </m:e>
          <m:sub>
            <m:r>
              <w:rPr>
                <w:rFonts w:ascii="Cambria Math" w:hAnsi="Cambria Math"/>
              </w:rPr>
              <m:t>k</m:t>
            </m:r>
          </m:sub>
        </m:sSub>
      </m:oMath>
    </w:p>
    <w:p w14:paraId="6C949EA1" w14:textId="77777777" w:rsidR="00EF6693" w:rsidRDefault="00000000">
      <w:pPr>
        <w:jc w:val="center"/>
        <w:rPr>
          <w:rFonts w:ascii="Times New Roman" w:eastAsia="Times New Roman" w:hAnsi="Times New Roman" w:cs="Times New Roman"/>
          <w:sz w:val="24"/>
          <w:szCs w:val="24"/>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j=0</m:t>
                      </m:r>
                    </m:sub>
                    <m:sup>
                      <m:r>
                        <w:rPr>
                          <w:rFonts w:ascii="Cambria Math" w:hAnsi="Cambria Math"/>
                        </w:rPr>
                        <m:t>N-1</m:t>
                      </m:r>
                    </m:sup>
                    <m:e>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·I(</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≠0)</m:t>
                      </m:r>
                    </m:e>
                  </m:nary>
                </m:e>
              </m:d>
            </m:e>
            <m:sub>
              <m:r>
                <w:rPr>
                  <w:rFonts w:ascii="Cambria Math" w:hAnsi="Cambria Math"/>
                </w:rPr>
                <m:t>i=</m:t>
              </m:r>
              <m:sSup>
                <m:sSupPr>
                  <m:ctrlPr>
                    <w:rPr>
                      <w:rFonts w:ascii="Cambria Math" w:hAnsi="Cambria Math"/>
                    </w:rPr>
                  </m:ctrlPr>
                </m:sSupPr>
                <m:e>
                  <m:r>
                    <w:rPr>
                      <w:rFonts w:ascii="Cambria Math" w:hAnsi="Cambria Math"/>
                    </w:rPr>
                    <m:t>i</m:t>
                  </m:r>
                </m:e>
                <m:sup/>
              </m:sSup>
            </m:sub>
            <m:sup>
              <m:r>
                <w:rPr>
                  <w:rFonts w:ascii="Cambria Math" w:hAnsi="Cambria Math"/>
                </w:rPr>
                <m:t>M-1</m:t>
              </m:r>
            </m:sup>
          </m:sSubSup>
        </m:oMath>
      </m:oMathPara>
    </w:p>
    <w:p w14:paraId="2B26EB98"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Simpson’s method to integrate each vector </w:t>
      </w:r>
      <m:oMath>
        <m:sSub>
          <m:sSubPr>
            <m:ctrlPr>
              <w:rPr>
                <w:rFonts w:ascii="Cambria Math" w:hAnsi="Cambria Math"/>
              </w:rPr>
            </m:ctrlPr>
          </m:sSubPr>
          <m:e>
            <m:r>
              <w:rPr>
                <w:rFonts w:ascii="Cambria Math" w:hAnsi="Cambria Math"/>
              </w:rPr>
              <m:t>Z</m:t>
            </m:r>
          </m:e>
          <m:sub>
            <m:r>
              <w:rPr>
                <w:rFonts w:ascii="Cambria Math" w:hAnsi="Cambria Math"/>
              </w:rPr>
              <m:t>k</m:t>
            </m:r>
          </m:sub>
        </m:sSub>
      </m:oMath>
      <w:r>
        <w:rPr>
          <w:rFonts w:ascii="Times New Roman" w:eastAsia="Times New Roman" w:hAnsi="Times New Roman" w:cs="Times New Roman"/>
          <w:sz w:val="24"/>
          <w:szCs w:val="24"/>
        </w:rPr>
        <w:t xml:space="preserve"> to get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i</m:t>
                </m:r>
              </m:e>
              <m:sup/>
            </m:sSup>
            <m:r>
              <w:rPr>
                <w:rFonts w:ascii="Cambria Math" w:hAnsi="Cambria Math"/>
              </w:rPr>
              <m:t>,…,M-1</m:t>
            </m:r>
          </m:e>
        </m:d>
      </m:oMath>
      <w:r>
        <w:rPr>
          <w:rFonts w:ascii="Times New Roman" w:eastAsia="Times New Roman" w:hAnsi="Times New Roman" w:cs="Times New Roman"/>
          <w:sz w:val="24"/>
          <w:szCs w:val="24"/>
        </w:rPr>
        <w:t>, the integer index along M representing the 50</w:t>
      </w:r>
      <w:proofErr w:type="spellStart"/>
      <w:r>
        <w:rPr>
          <w:rFonts w:ascii="Times New Roman" w:eastAsia="Times New Roman" w:hAnsi="Times New Roman" w:cs="Times New Roman"/>
          <w:sz w:val="24"/>
          <w:szCs w:val="24"/>
          <w:vertAlign w:val="superscript"/>
        </w:rPr>
        <w:t>th</w:t>
      </w:r>
      <w:proofErr w:type="spellEnd"/>
      <w:r>
        <w:rPr>
          <w:rFonts w:ascii="Times New Roman" w:eastAsia="Times New Roman" w:hAnsi="Times New Roman" w:cs="Times New Roman"/>
          <w:sz w:val="24"/>
          <w:szCs w:val="24"/>
        </w:rPr>
        <w:t xml:space="preserve"> percentile of the root area. All six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rFonts w:ascii="Times New Roman" w:eastAsia="Times New Roman" w:hAnsi="Times New Roman" w:cs="Times New Roman"/>
          <w:sz w:val="24"/>
          <w:szCs w:val="24"/>
        </w:rPr>
        <w:t xml:space="preserve"> indices were averaged </w:t>
      </w:r>
      <w:r>
        <w:rPr>
          <w:rFonts w:ascii="Times New Roman" w:eastAsia="Times New Roman" w:hAnsi="Times New Roman" w:cs="Times New Roman"/>
          <w:sz w:val="24"/>
          <w:szCs w:val="24"/>
        </w:rPr>
        <w:lastRenderedPageBreak/>
        <w:t xml:space="preserve">to calculate the average root plate depth </w:t>
      </w:r>
      <m:oMath>
        <m:r>
          <w:rPr>
            <w:rFonts w:ascii="Cambria Math" w:hAnsi="Cambria Math"/>
          </w:rPr>
          <m:t>D</m:t>
        </m:r>
      </m:oMath>
      <w:r>
        <w:rPr>
          <w:rFonts w:ascii="Times New Roman" w:eastAsia="Times New Roman" w:hAnsi="Times New Roman" w:cs="Times New Roman"/>
          <w:sz w:val="24"/>
          <w:szCs w:val="24"/>
        </w:rPr>
        <w:t xml:space="preserve"> for some image. These pixel valued depths were converted to vertical cm from the soil level using the cm:pixel scale images.</w:t>
      </w:r>
    </w:p>
    <w:p w14:paraId="65BC8D00"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t>Excavation Force Profile Analysis</w:t>
      </w:r>
    </w:p>
    <w:p w14:paraId="58FF15B3"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modeled the tree excavation process by treating the tree trunk and root system as a static system in rotation with a pivot point at the lowest measured root depth of the root system, the winch force acting on the trunk as a measured force of effort, and an unknown force of resistance acting against excavation on the root system centered on the root plate. We made several assumptions about this process to simplify the calculations. First, we assumed that once we started the excavation process, the tree trunk was in constant rotation around the fulcrum with no acceleration until it transitioned from rotation to translation out of the soil. This was empirically verified by examining the raw force gauge profiles and fitting a 5-parameter log-logistic curve to the data. Secondly, we assumed that the force of resistance was centered at the 50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percentile of the root area “mass” aggregated horizontally when the root area is extracted from a binary image. This could result in the calculated root plate depth being lower in the soil profile due to the negligible effect that lateral roots coming towards or away from the camera have on the integral calculations. Third, we discounted the weight of the tree, and any other force involved and relegated them to the total force of resistance. Fourth, we treated the bottom of the tree as the pivot point of rotation. Finally, we assumed that the excavation force of the winch was always acting parallel to the ground surface with the 2-5° deviations from horizontal assumed to have negligible effects on the calculations. We define the following terms for the reader:</w:t>
      </w:r>
    </w:p>
    <w:p w14:paraId="4BD7A040" w14:textId="77777777" w:rsidR="00EF6693" w:rsidRDefault="00000000">
      <w:pPr>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F</m:t>
            </m:r>
          </m:e>
          <m:sub>
            <m:r>
              <w:rPr>
                <w:rFonts w:ascii="Cambria Math" w:hAnsi="Cambria Math"/>
              </w:rPr>
              <m:t>e</m:t>
            </m:r>
          </m:sub>
        </m:sSub>
      </m:oMath>
      <w:r>
        <w:rPr>
          <w:rFonts w:ascii="Times New Roman" w:eastAsia="Times New Roman" w:hAnsi="Times New Roman" w:cs="Times New Roman"/>
          <w:sz w:val="24"/>
          <w:szCs w:val="24"/>
        </w:rPr>
        <w:t>= The force of excavation effort in newtons as measured by the force gauge.</w:t>
      </w:r>
    </w:p>
    <w:p w14:paraId="29CC4653" w14:textId="77777777" w:rsidR="00EF6693" w:rsidRDefault="00000000">
      <w:pPr>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F</m:t>
            </m:r>
          </m:e>
          <m:sub>
            <m:r>
              <w:rPr>
                <w:rFonts w:ascii="Cambria Math" w:hAnsi="Cambria Math"/>
              </w:rPr>
              <m:t>r</m:t>
            </m:r>
          </m:sub>
        </m:sSub>
      </m:oMath>
      <w:r>
        <w:rPr>
          <w:rFonts w:ascii="Times New Roman" w:eastAsia="Times New Roman" w:hAnsi="Times New Roman" w:cs="Times New Roman"/>
          <w:sz w:val="24"/>
          <w:szCs w:val="24"/>
        </w:rPr>
        <w:t>= The total force of resistance in newtons centered on the root plate.</w:t>
      </w:r>
    </w:p>
    <w:p w14:paraId="49832E00" w14:textId="77777777" w:rsidR="00EF6693" w:rsidRDefault="00000000">
      <w:pPr>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h</m:t>
            </m:r>
          </m:e>
          <m:sub>
            <m:r>
              <w:rPr>
                <w:rFonts w:ascii="Cambria Math" w:hAnsi="Cambria Math"/>
              </w:rPr>
              <m:t>e</m:t>
            </m:r>
          </m:sub>
        </m:sSub>
      </m:oMath>
      <w:r>
        <w:rPr>
          <w:rFonts w:ascii="Times New Roman" w:eastAsia="Times New Roman" w:hAnsi="Times New Roman" w:cs="Times New Roman"/>
          <w:sz w:val="24"/>
          <w:szCs w:val="24"/>
        </w:rPr>
        <w:t xml:space="preserve">= The linear distance from the pivot to the winch attachment where </w:t>
      </w:r>
      <m:oMath>
        <m:sSub>
          <m:sSubPr>
            <m:ctrlPr>
              <w:rPr>
                <w:rFonts w:ascii="Cambria Math" w:hAnsi="Cambria Math"/>
              </w:rPr>
            </m:ctrlPr>
          </m:sSubPr>
          <m:e>
            <m:r>
              <w:rPr>
                <w:rFonts w:ascii="Cambria Math" w:hAnsi="Cambria Math"/>
              </w:rPr>
              <m:t>F</m:t>
            </m:r>
          </m:e>
          <m:sub>
            <m:r>
              <w:rPr>
                <w:rFonts w:ascii="Cambria Math" w:hAnsi="Cambria Math"/>
              </w:rPr>
              <m:t>e</m:t>
            </m:r>
          </m:sub>
        </m:sSub>
      </m:oMath>
      <w:r>
        <w:rPr>
          <w:rFonts w:ascii="Times New Roman" w:eastAsia="Times New Roman" w:hAnsi="Times New Roman" w:cs="Times New Roman"/>
          <w:sz w:val="24"/>
          <w:szCs w:val="24"/>
        </w:rPr>
        <w:t xml:space="preserve"> is applied.</w:t>
      </w:r>
    </w:p>
    <w:p w14:paraId="21206EC1" w14:textId="77777777" w:rsidR="00EF6693" w:rsidRDefault="00000000">
      <w:pPr>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h</m:t>
            </m:r>
          </m:e>
          <m:sub>
            <m:r>
              <w:rPr>
                <w:rFonts w:ascii="Cambria Math" w:hAnsi="Cambria Math"/>
              </w:rPr>
              <m:t>r</m:t>
            </m:r>
          </m:sub>
        </m:sSub>
      </m:oMath>
      <w:r>
        <w:rPr>
          <w:rFonts w:ascii="Times New Roman" w:eastAsia="Times New Roman" w:hAnsi="Times New Roman" w:cs="Times New Roman"/>
          <w:sz w:val="24"/>
          <w:szCs w:val="24"/>
        </w:rPr>
        <w:t xml:space="preserve">= The linear distance from the pivot to the center of the root plate where </w:t>
      </w:r>
      <m:oMath>
        <m:sSub>
          <m:sSubPr>
            <m:ctrlPr>
              <w:rPr>
                <w:rFonts w:ascii="Cambria Math" w:hAnsi="Cambria Math"/>
              </w:rPr>
            </m:ctrlPr>
          </m:sSubPr>
          <m:e>
            <m:r>
              <w:rPr>
                <w:rFonts w:ascii="Cambria Math" w:hAnsi="Cambria Math"/>
              </w:rPr>
              <m:t>F</m:t>
            </m:r>
          </m:e>
          <m:sub>
            <m:r>
              <w:rPr>
                <w:rFonts w:ascii="Cambria Math" w:hAnsi="Cambria Math"/>
              </w:rPr>
              <m:t>r</m:t>
            </m:r>
          </m:sub>
        </m:sSub>
      </m:oMath>
      <w:r>
        <w:rPr>
          <w:rFonts w:ascii="Times New Roman" w:eastAsia="Times New Roman" w:hAnsi="Times New Roman" w:cs="Times New Roman"/>
          <w:sz w:val="24"/>
          <w:szCs w:val="24"/>
        </w:rPr>
        <w:t xml:space="preserve"> is acting.</w:t>
      </w:r>
    </w:p>
    <w:p w14:paraId="66D77DD8" w14:textId="77777777" w:rsidR="00EF6693" w:rsidRDefault="00000000">
      <w:pPr>
        <w:rPr>
          <w:rFonts w:ascii="Times New Roman" w:eastAsia="Times New Roman" w:hAnsi="Times New Roman" w:cs="Times New Roman"/>
          <w:sz w:val="24"/>
          <w:szCs w:val="24"/>
        </w:rPr>
      </w:pPr>
      <m:oMath>
        <m:r>
          <w:rPr>
            <w:rFonts w:ascii="Cambria Math" w:hAnsi="Cambria Math"/>
          </w:rPr>
          <m:t>ϕ</m:t>
        </m:r>
      </m:oMath>
      <w:r>
        <w:rPr>
          <w:rFonts w:ascii="Times New Roman" w:eastAsia="Times New Roman" w:hAnsi="Times New Roman" w:cs="Times New Roman"/>
          <w:sz w:val="24"/>
          <w:szCs w:val="24"/>
        </w:rPr>
        <w:t>= The angle in degrees between the tree trunk and the horizontal ground surface.</w:t>
      </w:r>
    </w:p>
    <w:p w14:paraId="385198AE" w14:textId="77777777" w:rsidR="00EF6693" w:rsidRDefault="00000000">
      <w:pPr>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τ</m:t>
            </m:r>
          </m:e>
          <m:sub>
            <m:r>
              <w:rPr>
                <w:rFonts w:ascii="Cambria Math" w:hAnsi="Cambria Math"/>
              </w:rPr>
              <m:t>e</m:t>
            </m:r>
          </m:sub>
        </m:sSub>
      </m:oMath>
      <w:r>
        <w:rPr>
          <w:rFonts w:ascii="Times New Roman" w:eastAsia="Times New Roman" w:hAnsi="Times New Roman" w:cs="Times New Roman"/>
          <w:sz w:val="24"/>
          <w:szCs w:val="24"/>
        </w:rPr>
        <w:t xml:space="preserve">= The moment at </w:t>
      </w:r>
      <m:oMath>
        <m:sSub>
          <m:sSubPr>
            <m:ctrlPr>
              <w:rPr>
                <w:rFonts w:ascii="Cambria Math" w:hAnsi="Cambria Math"/>
              </w:rPr>
            </m:ctrlPr>
          </m:sSubPr>
          <m:e>
            <m:r>
              <w:rPr>
                <w:rFonts w:ascii="Cambria Math" w:hAnsi="Cambria Math"/>
              </w:rPr>
              <m:t>h</m:t>
            </m:r>
          </m:e>
          <m:sub>
            <m:r>
              <w:rPr>
                <w:rFonts w:ascii="Cambria Math" w:hAnsi="Cambria Math"/>
              </w:rPr>
              <m:t>e</m:t>
            </m:r>
          </m:sub>
        </m:sSub>
      </m:oMath>
      <w:r>
        <w:rPr>
          <w:rFonts w:ascii="Times New Roman" w:eastAsia="Times New Roman" w:hAnsi="Times New Roman" w:cs="Times New Roman"/>
          <w:sz w:val="24"/>
          <w:szCs w:val="24"/>
        </w:rPr>
        <w:t xml:space="preserve">, equal to </w:t>
      </w: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·sinϕ</m:t>
        </m:r>
      </m:oMath>
    </w:p>
    <w:p w14:paraId="502B905E" w14:textId="77777777" w:rsidR="00EF6693" w:rsidRDefault="00000000">
      <w:pPr>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τ</m:t>
            </m:r>
          </m:e>
          <m:sub>
            <m:r>
              <w:rPr>
                <w:rFonts w:ascii="Cambria Math" w:hAnsi="Cambria Math"/>
              </w:rPr>
              <m:t>r</m:t>
            </m:r>
          </m:sub>
        </m:sSub>
      </m:oMath>
      <w:r>
        <w:rPr>
          <w:rFonts w:ascii="Times New Roman" w:eastAsia="Times New Roman" w:hAnsi="Times New Roman" w:cs="Times New Roman"/>
          <w:sz w:val="24"/>
          <w:szCs w:val="24"/>
        </w:rPr>
        <w:t xml:space="preserve">= The moment at </w:t>
      </w:r>
      <m:oMath>
        <m:sSub>
          <m:sSubPr>
            <m:ctrlPr>
              <w:rPr>
                <w:rFonts w:ascii="Cambria Math" w:hAnsi="Cambria Math"/>
              </w:rPr>
            </m:ctrlPr>
          </m:sSubPr>
          <m:e>
            <m:r>
              <w:rPr>
                <w:rFonts w:ascii="Cambria Math" w:hAnsi="Cambria Math"/>
              </w:rPr>
              <m:t>h</m:t>
            </m:r>
          </m:e>
          <m:sub>
            <m:r>
              <w:rPr>
                <w:rFonts w:ascii="Cambria Math" w:hAnsi="Cambria Math"/>
              </w:rPr>
              <m:t>r</m:t>
            </m:r>
          </m:sub>
        </m:sSub>
      </m:oMath>
      <w:r>
        <w:rPr>
          <w:rFonts w:ascii="Times New Roman" w:eastAsia="Times New Roman" w:hAnsi="Times New Roman" w:cs="Times New Roman"/>
          <w:sz w:val="24"/>
          <w:szCs w:val="24"/>
        </w:rPr>
        <w:t xml:space="preserve">, equal to </w:t>
      </w:r>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·sinϕ</m:t>
        </m:r>
      </m:oMath>
    </w:p>
    <w:p w14:paraId="0D0B940D" w14:textId="77777777" w:rsidR="00EF6693" w:rsidRDefault="00EF6693">
      <w:pPr>
        <w:rPr>
          <w:rFonts w:ascii="Times New Roman" w:eastAsia="Times New Roman" w:hAnsi="Times New Roman" w:cs="Times New Roman"/>
          <w:sz w:val="24"/>
          <w:szCs w:val="24"/>
        </w:rPr>
      </w:pPr>
    </w:p>
    <w:p w14:paraId="144A6CA6"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calculated </w:t>
      </w:r>
      <m:oMath>
        <m:sSub>
          <m:sSubPr>
            <m:ctrlPr>
              <w:rPr>
                <w:rFonts w:ascii="Cambria Math" w:hAnsi="Cambria Math"/>
              </w:rPr>
            </m:ctrlPr>
          </m:sSubPr>
          <m:e>
            <m:r>
              <w:rPr>
                <w:rFonts w:ascii="Cambria Math" w:hAnsi="Cambria Math"/>
              </w:rPr>
              <m:t>F</m:t>
            </m:r>
          </m:e>
          <m:sub>
            <m:r>
              <w:rPr>
                <w:rFonts w:ascii="Cambria Math" w:hAnsi="Cambria Math"/>
              </w:rPr>
              <m:t>r</m:t>
            </m:r>
          </m:sub>
        </m:sSub>
      </m:oMath>
      <w:r>
        <w:rPr>
          <w:rFonts w:ascii="Times New Roman" w:eastAsia="Times New Roman" w:hAnsi="Times New Roman" w:cs="Times New Roman"/>
          <w:sz w:val="24"/>
          <w:szCs w:val="24"/>
        </w:rPr>
        <w:t xml:space="preserve"> by treating the system as a set of moments around the pivot point. By assuming that there was no acceleration during the excavation during the rotational phase of the excavation, we can apply the equilibrium condition and set</w:t>
      </w:r>
    </w:p>
    <w:p w14:paraId="1F255C6A" w14:textId="77777777" w:rsidR="00EF6693" w:rsidRDefault="00000000">
      <w:pPr>
        <w:jc w:val="center"/>
        <w:rPr>
          <w:rFonts w:ascii="Times New Roman" w:eastAsia="Times New Roman" w:hAnsi="Times New Roman" w:cs="Times New Roman"/>
          <w:sz w:val="24"/>
          <w:szCs w:val="24"/>
        </w:rP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oMath>
      </m:oMathPara>
    </w:p>
    <w:p w14:paraId="6961D120"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Then substituting the moments for their calculated expressions and simplifying</w:t>
      </w:r>
    </w:p>
    <w:p w14:paraId="440A69B9" w14:textId="77777777" w:rsidR="00EF6693" w:rsidRDefault="00000000">
      <w:pPr>
        <w:jc w:val="center"/>
        <w:rPr>
          <w:rFonts w:ascii="Times New Roman" w:eastAsia="Times New Roman" w:hAnsi="Times New Roman" w:cs="Times New Roman"/>
          <w:sz w:val="24"/>
          <w:szCs w:val="24"/>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sinϕ=</m:t>
          </m:r>
          <m:sSub>
            <m:sSubPr>
              <m:ctrlPr>
                <w:rPr>
                  <w:rFonts w:ascii="Cambria Math" w:hAnsi="Cambria Math"/>
                </w:rPr>
              </m:ctrlPr>
            </m:sSubPr>
            <m:e>
              <m:r>
                <w:rPr>
                  <w:rFonts w:ascii="Cambria Math" w:hAnsi="Cambria Math"/>
                </w:rPr>
                <m:t>F</m:t>
              </m:r>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sinϕ</m:t>
          </m:r>
        </m:oMath>
      </m:oMathPara>
    </w:p>
    <w:p w14:paraId="72D9B521" w14:textId="77777777" w:rsidR="00EF6693" w:rsidRDefault="00000000">
      <w:pPr>
        <w:jc w:val="center"/>
        <w:rPr>
          <w:rFonts w:ascii="Times New Roman" w:eastAsia="Times New Roman" w:hAnsi="Times New Roman" w:cs="Times New Roman"/>
          <w:sz w:val="24"/>
          <w:szCs w:val="24"/>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r</m:t>
              </m:r>
            </m:sub>
          </m:sSub>
        </m:oMath>
      </m:oMathPara>
    </w:p>
    <w:p w14:paraId="674AA12D"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can solve for </w:t>
      </w:r>
      <m:oMath>
        <m:sSub>
          <m:sSubPr>
            <m:ctrlPr>
              <w:rPr>
                <w:rFonts w:ascii="Cambria Math" w:hAnsi="Cambria Math"/>
              </w:rPr>
            </m:ctrlPr>
          </m:sSubPr>
          <m:e>
            <m:r>
              <w:rPr>
                <w:rFonts w:ascii="Cambria Math" w:hAnsi="Cambria Math"/>
              </w:rPr>
              <m:t>F</m:t>
            </m:r>
          </m:e>
          <m:sub>
            <m:r>
              <w:rPr>
                <w:rFonts w:ascii="Cambria Math" w:hAnsi="Cambria Math"/>
              </w:rPr>
              <m:t>r</m:t>
            </m:r>
          </m:sub>
        </m:sSub>
      </m:oMath>
      <w:r>
        <w:rPr>
          <w:rFonts w:ascii="Times New Roman" w:eastAsia="Times New Roman" w:hAnsi="Times New Roman" w:cs="Times New Roman"/>
          <w:sz w:val="24"/>
          <w:szCs w:val="24"/>
        </w:rPr>
        <w:t xml:space="preserve"> as </w:t>
      </w: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w:rPr>
                    <w:rFonts w:ascii="Cambria Math" w:hAnsi="Cambria Math"/>
                  </w:rPr>
                  <m:t>h</m:t>
                </m:r>
              </m:e>
              <m:sub>
                <m:r>
                  <w:rPr>
                    <w:rFonts w:ascii="Cambria Math" w:hAnsi="Cambria Math"/>
                  </w:rPr>
                  <m:t>e</m:t>
                </m:r>
              </m:sub>
            </m:sSub>
          </m:num>
          <m:den>
            <m:sSub>
              <m:sSubPr>
                <m:ctrlPr>
                  <w:rPr>
                    <w:rFonts w:ascii="Cambria Math" w:hAnsi="Cambria Math"/>
                  </w:rPr>
                </m:ctrlPr>
              </m:sSubPr>
              <m:e>
                <m:r>
                  <w:rPr>
                    <w:rFonts w:ascii="Cambria Math" w:hAnsi="Cambria Math"/>
                  </w:rPr>
                  <m:t>h</m:t>
                </m:r>
              </m:e>
              <m:sub>
                <m:r>
                  <w:rPr>
                    <w:rFonts w:ascii="Cambria Math" w:hAnsi="Cambria Math"/>
                  </w:rPr>
                  <m:t>r</m:t>
                </m:r>
              </m:sub>
            </m:sSub>
          </m:den>
        </m:f>
      </m:oMath>
      <w:r>
        <w:rPr>
          <w:rFonts w:ascii="Times New Roman" w:eastAsia="Times New Roman" w:hAnsi="Times New Roman" w:cs="Times New Roman"/>
          <w:sz w:val="24"/>
          <w:szCs w:val="24"/>
        </w:rPr>
        <w:t xml:space="preserve"> to get the total resistance force at the calculated root plate depth. The resistance force can be further decomposed into its perpendicular and tangential components by simple trigonometric expressions if needed. Finally, we standardized the force of effort on the trunk,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e</m:t>
                </m:r>
              </m:e>
              <m:sub>
                <m:r>
                  <w:rPr>
                    <w:rFonts w:ascii="Cambria Math" w:hAnsi="Cambria Math"/>
                  </w:rPr>
                  <m:t>std</m:t>
                </m:r>
              </m:sub>
            </m:sSub>
          </m:sub>
        </m:sSub>
      </m:oMath>
      <w:r>
        <w:rPr>
          <w:rFonts w:ascii="Times New Roman" w:eastAsia="Times New Roman" w:hAnsi="Times New Roman" w:cs="Times New Roman"/>
          <w:sz w:val="24"/>
          <w:szCs w:val="24"/>
        </w:rPr>
        <w:t>, by recalculating it at 3’ above the soil surface such that all measurements are standardized across all trees. Our analysis was conducted on the maximum standardized force observed between the beginning of excavation and when the trunk-ground angle was 45°.</w:t>
      </w:r>
    </w:p>
    <w:p w14:paraId="26A72E16" w14:textId="77777777" w:rsidR="00EF6693"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Modeling and Statistical Analyses</w:t>
      </w:r>
    </w:p>
    <w:p w14:paraId="08087CEF" w14:textId="6EFC9D3B" w:rsidR="00CB606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plant leaf nutrient data</w:t>
      </w:r>
      <w:r w:rsidR="00B840D6">
        <w:rPr>
          <w:rFonts w:ascii="Times New Roman" w:eastAsia="Times New Roman" w:hAnsi="Times New Roman" w:cs="Times New Roman"/>
          <w:sz w:val="24"/>
          <w:szCs w:val="24"/>
        </w:rPr>
        <w:t>, tree growth data</w:t>
      </w:r>
      <w:r w:rsidR="0014073F">
        <w:rPr>
          <w:rFonts w:ascii="Times New Roman" w:eastAsia="Times New Roman" w:hAnsi="Times New Roman" w:cs="Times New Roman"/>
          <w:sz w:val="24"/>
          <w:szCs w:val="24"/>
        </w:rPr>
        <w:t>, and root system measurements</w:t>
      </w:r>
      <w:r w:rsidR="00CB6065">
        <w:rPr>
          <w:rFonts w:ascii="Times New Roman" w:eastAsia="Times New Roman" w:hAnsi="Times New Roman" w:cs="Times New Roman"/>
          <w:sz w:val="24"/>
          <w:szCs w:val="24"/>
        </w:rPr>
        <w:t xml:space="preserve"> and calculations</w:t>
      </w:r>
      <w:r>
        <w:rPr>
          <w:rFonts w:ascii="Times New Roman" w:eastAsia="Times New Roman" w:hAnsi="Times New Roman" w:cs="Times New Roman"/>
          <w:sz w:val="24"/>
          <w:szCs w:val="24"/>
        </w:rPr>
        <w:t xml:space="preserve"> were analyzed using linear mixed effects models with the experimental block as a random effect and ‘rootstock’, ‘ </w:t>
      </w:r>
      <w:proofErr w:type="spellStart"/>
      <w:r>
        <w:rPr>
          <w:rFonts w:ascii="Times New Roman" w:eastAsia="Times New Roman" w:hAnsi="Times New Roman" w:cs="Times New Roman"/>
          <w:sz w:val="24"/>
          <w:szCs w:val="24"/>
        </w:rPr>
        <w:t>propagation_type</w:t>
      </w:r>
      <w:proofErr w:type="spellEnd"/>
      <w:r>
        <w:rPr>
          <w:rFonts w:ascii="Times New Roman" w:eastAsia="Times New Roman" w:hAnsi="Times New Roman" w:cs="Times New Roman"/>
          <w:sz w:val="24"/>
          <w:szCs w:val="24"/>
        </w:rPr>
        <w:t>’, and their interaction as fixed effects. Significant effects were separated using their estimated marginal means with a Tukey p-value correction.</w:t>
      </w:r>
    </w:p>
    <w:p w14:paraId="6A27B27E" w14:textId="6A9936D0"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individual root data with binary outcomes that were measured for each root segment on a root system, we used a generalized linear mixed effects model with a binomial link function. Goodness of fit was used to assess the full model from the null models. Tree level root count data was analyzed using a generalized linear mixed model with a Poisson link function.</w:t>
      </w:r>
    </w:p>
    <w:p w14:paraId="2E1E51FF"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Peak standardized force data was analyzed using linear mixed models with ‘rootstock’ and ‘propagation type’ and their interaction as fixed effects, and the experimental block as a random effect. Correlation analysis with select growth factors and root system measurements was conducted using Pearson’s R. </w:t>
      </w:r>
    </w:p>
    <w:p w14:paraId="24D5941A" w14:textId="1D73F031"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partial least squares regression to regress peak standardized force against tree growth and root factors as well as the 2700 radial density measurements. After extracting the PLS coefficients for the first component, we removed the baseline </w:t>
      </w:r>
      <w:r w:rsidR="00BC12D7">
        <w:rPr>
          <w:rFonts w:ascii="Times New Roman" w:eastAsia="Times New Roman" w:hAnsi="Times New Roman" w:cs="Times New Roman"/>
          <w:sz w:val="24"/>
          <w:szCs w:val="24"/>
        </w:rPr>
        <w:t>trend and</w:t>
      </w:r>
      <w:r>
        <w:rPr>
          <w:rFonts w:ascii="Times New Roman" w:eastAsia="Times New Roman" w:hAnsi="Times New Roman" w:cs="Times New Roman"/>
          <w:sz w:val="24"/>
          <w:szCs w:val="24"/>
        </w:rPr>
        <w:t xml:space="preserve"> smoothed them using Gaussian convolution. Finally, we processed them using a fast Fourier transformation to extract the periodicity in the coefficients and present the directions that have the most impact on the peak standardized excavation force.</w:t>
      </w:r>
    </w:p>
    <w:p w14:paraId="532BA3F5" w14:textId="28E0B3CC"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w:t>
      </w:r>
      <w:r w:rsidR="00244E11">
        <w:rPr>
          <w:rFonts w:ascii="Times New Roman" w:eastAsia="Times New Roman" w:hAnsi="Times New Roman" w:cs="Times New Roman"/>
          <w:sz w:val="24"/>
          <w:szCs w:val="24"/>
        </w:rPr>
        <w:t>image processing and measurements were conduct</w:t>
      </w:r>
      <w:r w:rsidR="00B23E82">
        <w:rPr>
          <w:rFonts w:ascii="Times New Roman" w:eastAsia="Times New Roman" w:hAnsi="Times New Roman" w:cs="Times New Roman"/>
          <w:sz w:val="24"/>
          <w:szCs w:val="24"/>
        </w:rPr>
        <w:t>ed</w:t>
      </w:r>
      <w:r w:rsidR="00244E11">
        <w:rPr>
          <w:rFonts w:ascii="Times New Roman" w:eastAsia="Times New Roman" w:hAnsi="Times New Roman" w:cs="Times New Roman"/>
          <w:sz w:val="24"/>
          <w:szCs w:val="24"/>
        </w:rPr>
        <w:t xml:space="preserve"> using Python 3.12</w:t>
      </w:r>
      <w:r w:rsidR="00B23E82">
        <w:rPr>
          <w:rFonts w:ascii="Times New Roman" w:eastAsia="Times New Roman" w:hAnsi="Times New Roman" w:cs="Times New Roman"/>
          <w:sz w:val="24"/>
          <w:szCs w:val="24"/>
        </w:rPr>
        <w:t xml:space="preserve"> with OpenCV. Statistical </w:t>
      </w:r>
      <w:r>
        <w:rPr>
          <w:rFonts w:ascii="Times New Roman" w:eastAsia="Times New Roman" w:hAnsi="Times New Roman" w:cs="Times New Roman"/>
          <w:sz w:val="24"/>
          <w:szCs w:val="24"/>
        </w:rPr>
        <w:t>modeling was conducted in R 4.4 (R Core Team, Vienna, Austria, 2024) in an R-Studio environment (citation) using the ‘lme4’, ‘</w:t>
      </w:r>
      <w:proofErr w:type="spellStart"/>
      <w:r>
        <w:rPr>
          <w:rFonts w:ascii="Times New Roman" w:eastAsia="Times New Roman" w:hAnsi="Times New Roman" w:cs="Times New Roman"/>
          <w:sz w:val="24"/>
          <w:szCs w:val="24"/>
        </w:rPr>
        <w:t>emmeans</w:t>
      </w:r>
      <w:proofErr w:type="spellEnd"/>
      <w:r>
        <w:rPr>
          <w:rFonts w:ascii="Times New Roman" w:eastAsia="Times New Roman" w:hAnsi="Times New Roman" w:cs="Times New Roman"/>
          <w:sz w:val="24"/>
          <w:szCs w:val="24"/>
        </w:rPr>
        <w:t>’ packages.</w:t>
      </w:r>
    </w:p>
    <w:p w14:paraId="181A7F3C"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from each trial was analyzed separately if not specified otherwise.</w:t>
      </w:r>
      <w:r>
        <w:br w:type="page"/>
      </w:r>
    </w:p>
    <w:p w14:paraId="36704A0D" w14:textId="77777777" w:rsidR="00EF6693" w:rsidRDefault="00000000">
      <w:pPr>
        <w:pStyle w:val="Heading1"/>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Results</w:t>
      </w:r>
    </w:p>
    <w:p w14:paraId="5F714B2F" w14:textId="77777777" w:rsidR="00EF6693"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Two Year Tree Measurements</w:t>
      </w:r>
    </w:p>
    <w:p w14:paraId="4F2F89FC" w14:textId="74F43F0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two years of growth in the field, the trees had well developed canopies and growth across both trials. All trees were equally infected with </w:t>
      </w:r>
      <w:r w:rsidRPr="00CB7BFD">
        <w:rPr>
          <w:rFonts w:ascii="Times New Roman" w:eastAsia="Times New Roman" w:hAnsi="Times New Roman" w:cs="Times New Roman"/>
          <w:sz w:val="24"/>
          <w:szCs w:val="24"/>
        </w:rPr>
        <w:t>Candidatus</w:t>
      </w:r>
      <w:r w:rsidRPr="00FA35A4">
        <w:rPr>
          <w:rFonts w:ascii="Times New Roman" w:eastAsia="Times New Roman" w:hAnsi="Times New Roman" w:cs="Times New Roman"/>
          <w:i/>
          <w:iCs/>
          <w:sz w:val="24"/>
          <w:szCs w:val="24"/>
        </w:rPr>
        <w:t xml:space="preserve"> </w:t>
      </w:r>
      <w:proofErr w:type="spellStart"/>
      <w:r w:rsidR="00CB7BFD">
        <w:rPr>
          <w:rFonts w:ascii="Times New Roman" w:eastAsia="Times New Roman" w:hAnsi="Times New Roman" w:cs="Times New Roman"/>
          <w:i/>
          <w:iCs/>
          <w:sz w:val="24"/>
          <w:szCs w:val="24"/>
        </w:rPr>
        <w:t>L</w:t>
      </w:r>
      <w:r w:rsidRPr="00FA35A4">
        <w:rPr>
          <w:rFonts w:ascii="Times New Roman" w:eastAsia="Times New Roman" w:hAnsi="Times New Roman" w:cs="Times New Roman"/>
          <w:i/>
          <w:iCs/>
          <w:sz w:val="24"/>
          <w:szCs w:val="24"/>
        </w:rPr>
        <w:t>iberibacter</w:t>
      </w:r>
      <w:proofErr w:type="spellEnd"/>
      <w:r w:rsidRPr="00FA35A4">
        <w:rPr>
          <w:rFonts w:ascii="Times New Roman" w:eastAsia="Times New Roman" w:hAnsi="Times New Roman" w:cs="Times New Roman"/>
          <w:i/>
          <w:iCs/>
          <w:sz w:val="24"/>
          <w:szCs w:val="24"/>
        </w:rPr>
        <w:t xml:space="preserve"> asiaticus</w:t>
      </w:r>
      <w:r>
        <w:rPr>
          <w:rFonts w:ascii="Times New Roman" w:eastAsia="Times New Roman" w:hAnsi="Times New Roman" w:cs="Times New Roman"/>
          <w:sz w:val="24"/>
          <w:szCs w:val="24"/>
        </w:rPr>
        <w:t xml:space="preserve">, also known as Huanglongbing (HLB). HLB titers were evaluated by qPCR assay and the mean </w:t>
      </w:r>
      <w:proofErr w:type="spellStart"/>
      <w:r>
        <w:rPr>
          <w:rFonts w:ascii="Times New Roman" w:eastAsia="Times New Roman" w:hAnsi="Times New Roman" w:cs="Times New Roman"/>
          <w:sz w:val="24"/>
          <w:szCs w:val="24"/>
        </w:rPr>
        <w:t>Cq’s</w:t>
      </w:r>
      <w:proofErr w:type="spellEnd"/>
      <w:r>
        <w:rPr>
          <w:rFonts w:ascii="Times New Roman" w:eastAsia="Times New Roman" w:hAnsi="Times New Roman" w:cs="Times New Roman"/>
          <w:sz w:val="24"/>
          <w:szCs w:val="24"/>
        </w:rPr>
        <w:t xml:space="preserve"> were well into the low 20s indicating significant infection (</w:t>
      </w:r>
      <w:r w:rsidR="009E20B2">
        <w:rPr>
          <w:rFonts w:ascii="Times New Roman" w:eastAsia="Times New Roman" w:hAnsi="Times New Roman" w:cs="Times New Roman"/>
          <w:sz w:val="24"/>
          <w:szCs w:val="24"/>
        </w:rPr>
        <w:t>Supp. T</w:t>
      </w:r>
      <w:r>
        <w:rPr>
          <w:rFonts w:ascii="Times New Roman" w:eastAsia="Times New Roman" w:hAnsi="Times New Roman" w:cs="Times New Roman"/>
          <w:sz w:val="24"/>
          <w:szCs w:val="24"/>
        </w:rPr>
        <w:t>able 1). There were no significant differences detected in the titer levels between the different rootstocks (p=0.2625) or propagation methods (p=0.7781). Leaf nutrient analysis was conducted on mature, fully expanded leaves from non-fruit bearing branches in August of the second year. While there were many significant differences between rootstock varieties in both field trials, little to no differences in macro and micronutrients were manifested between the different propagation methods in either trial. Nutrient levels tended to be in the optimum or high range across all rootstocks and propagation methods, except for calcium and magnesium, which were lower than their optimum ranges (Ca=3.0–4.9, Mg=0.30–0.49). Copper was below the optimum range in Field Trial 2 due to a limited spray program, but in extreme excess in Field Trial 1 due to differences in citrus canker management programs between the two locations (</w:t>
      </w:r>
      <w:r w:rsidR="009E20B2">
        <w:rPr>
          <w:rFonts w:ascii="Times New Roman" w:eastAsia="Times New Roman" w:hAnsi="Times New Roman" w:cs="Times New Roman"/>
          <w:sz w:val="24"/>
          <w:szCs w:val="24"/>
        </w:rPr>
        <w:t xml:space="preserve">Supp. </w:t>
      </w:r>
      <w:r>
        <w:rPr>
          <w:rFonts w:ascii="Times New Roman" w:eastAsia="Times New Roman" w:hAnsi="Times New Roman" w:cs="Times New Roman"/>
          <w:sz w:val="24"/>
          <w:szCs w:val="24"/>
        </w:rPr>
        <w:t xml:space="preserve">Table 2). </w:t>
      </w:r>
    </w:p>
    <w:p w14:paraId="477F26DF"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There were strong differences in the rootstock and scion circumferences between the dwarfing rootstock US-897 and the rest of the rootstocks. The rootstock diameter for US-897 was 12.5cm (Field Trial 2) and 10.9cm (Field Trial 1) compared to the other three rootstocks which were much larger, ranging from 14-15cm in circumference. The same was true for the scion circumferences – Valencia on US-897 was 9.9cm (Field Trial 2) and 8.75cm (Field Trial 1) compared to Valencia on the other standard rootstock varieties (10.8-12.5cm). The rootstock diameter was slightly larger for the SD propagated trees compared to MPG and CT trees in both trials (p=0.0057 and 0.0702 for Field Trial 1 and 2, respectively). However, the scion circumferences were statistically similar between the propagation methods in both trials. The rootstock and scion circumference ratios were extremely stable across rootstocks, propagation methods, and field trials. US-1516 had the highest RS/SC ratios in both trials ranging from 1.34-1.348 while US-942 had the smallest ratios ranging from 1.207-1.228. Seedling propagated trees had the highest RS/SC ratios which is reflected in the marginally significant differences in the rootstock circumference for the SD propagated trees.</w:t>
      </w:r>
    </w:p>
    <w:p w14:paraId="708F35F0"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Valencia grafted on US-897 formed the shortest trees (108-128cm) with smaller canopies (0.289-0.468 cm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US-942 and US-1516 formed the largest trees in Field Trial 1 (Tree height ~ 129cm, Canopy volume ~ 57cm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while US-812 grafted trees were the largest in Field Trial 2 (Tree height ~ 142cm, Canopy volume ~ 0.742cm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Differences in tree height and canopy volume were not apparent between propagation methods (p &gt;&gt; 0.05)</w:t>
      </w:r>
    </w:p>
    <w:p w14:paraId="7F94943F"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Leaf area index (LAI) varied between Field Trial 1 (2.6-2.9) and Field Trial 2 (3.0-3.3), but within each trial, LAI did not differ significantly either between rootstocks, or propagation method. Disease symptoms were lowest in US-897 canopies (1.88 and 2.53) in both trials, but highest in US-1516 in Field Trial 2 (2.26) and US-812 in Field Trial 1 (3.2). Disease ratings trended higher in cutting propagated trees in both trials, but only significantly different from the other methods in Field Trial 1 (CT=3.3 vs SD/MPG=2.8). Canopy thickness ratings were not </w:t>
      </w:r>
      <w:r>
        <w:rPr>
          <w:rFonts w:ascii="Times New Roman" w:eastAsia="Times New Roman" w:hAnsi="Times New Roman" w:cs="Times New Roman"/>
          <w:sz w:val="24"/>
          <w:szCs w:val="24"/>
        </w:rPr>
        <w:lastRenderedPageBreak/>
        <w:t xml:space="preserve">different except in Field Trial 1 where US-942 had the thickest canopies (3.6) compared to US-812 (3.2), but only at α=0.0488. Similarly, no significant differences in the visual ratings for canopy color were detected for Field Trial 2, however slight differences were observed among both rootstocks and propagation methods for Field Trial 1. US-897 had the darkest canopies at 3.9 whereas no other differences were observed between the other rootstocks. Micro-propagated trees were slightly darker green (3.6) compared to cuttings (3.37). </w:t>
      </w:r>
    </w:p>
    <w:p w14:paraId="1A84E4C3" w14:textId="77777777" w:rsidR="00EF6693"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Root System and Segment Measurements</w:t>
      </w:r>
    </w:p>
    <w:p w14:paraId="4489D5EB"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t>Root System Level Measurements</w:t>
      </w:r>
    </w:p>
    <w:p w14:paraId="38B6ED6C" w14:textId="77777777" w:rsidR="00EF6693" w:rsidRDefault="00000000">
      <w:pPr>
        <w:pStyle w:val="Heading4"/>
        <w:rPr>
          <w:rFonts w:ascii="Times New Roman" w:eastAsia="Times New Roman" w:hAnsi="Times New Roman" w:cs="Times New Roman"/>
          <w:sz w:val="24"/>
          <w:szCs w:val="24"/>
        </w:rPr>
      </w:pPr>
      <w:r>
        <w:rPr>
          <w:rFonts w:ascii="Times New Roman" w:eastAsia="Times New Roman" w:hAnsi="Times New Roman" w:cs="Times New Roman"/>
          <w:sz w:val="24"/>
          <w:szCs w:val="24"/>
        </w:rPr>
        <w:t>Root System Depths and Mass</w:t>
      </w:r>
    </w:p>
    <w:p w14:paraId="5393593D"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 system measurements were conducted both at the root system level and the individual root segment level. The mean root crown depth was measured as the vertical distance in the soil from the soil level to the lowest portion of the root system with root segment diameters ≥ 5mm. This was similar across all rootstocks and propagation methods ranging from 24-26cm deep in Field Trial 1, to 22-23cm deep in Field Trial 2 and there were no significant differences across rootstocks within either trial. This was strongly tied to the depth of the nursery pots (24cm) that the trees were propagated in for both trials. The stump depth differed slightly between rootstocks at α=0.10 but not at the α=0.05 level and ranged across rootstocks from 15.5-18.5cm. In contrast, strong differences in stump depth manifested between propagation methods: seedling propagated trees had the deepest stumps due to the presence of a taproot at 20.4-21.9cm, cutting propagated trees had the next deepest stump depth 18.9-19.3cm, and micropropagation rootstocks had the shallowest stump depth across both trials at 9.9-10.8cm. Post-hoc analyses revealed consistent means groupings for the propagation methods across both trials.</w:t>
      </w:r>
    </w:p>
    <w:p w14:paraId="400E67CB"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US-897 root systems had the smallest dry mass 195-222g while the other rootstocks had a higher mass of 368-410g in both trials, but no mass differences existed between propagation methods. Stump diameter was also the smallest for US-897 in both trials (33-34mm) and whereas there were no detectable differences between US-1516, US-812, and US-942 (41-47mm). Cutting and seedling propagated root systems had the smallest stump diameters ranging from 37.5-40.9mm and were significantly smaller than micro-propagated root systems (45-49.6mm), a trend that held constant across both trials.</w:t>
      </w:r>
    </w:p>
    <w:p w14:paraId="632D1F14" w14:textId="77777777" w:rsidR="00EF6693" w:rsidRDefault="00000000">
      <w:pPr>
        <w:pStyle w:val="Heading4"/>
        <w:rPr>
          <w:rFonts w:ascii="Times New Roman" w:eastAsia="Times New Roman" w:hAnsi="Times New Roman" w:cs="Times New Roman"/>
          <w:sz w:val="24"/>
          <w:szCs w:val="24"/>
        </w:rPr>
      </w:pPr>
      <w:r>
        <w:rPr>
          <w:rFonts w:ascii="Times New Roman" w:eastAsia="Times New Roman" w:hAnsi="Times New Roman" w:cs="Times New Roman"/>
          <w:sz w:val="24"/>
          <w:szCs w:val="24"/>
        </w:rPr>
        <w:t>Root System Root Counts</w:t>
      </w:r>
    </w:p>
    <w:p w14:paraId="36ABA2C1"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total number of main root segments and branch points for each root system were analyzed by mixed effects generalized linear models with a Poisson link function. US-1516 had the highest average number of main root segments (diameter &gt;= 5mm) over all other rootstocks in both trials, though the difference was more pronounced in Field Trial 2 (27.8) compared to Field Trial 1 (22.7). US-812 and US-942, on average, had fewer total root segments across both trials (18.9-22.7, and 20.4-22.7, respectively) but were not significantly different from each other in either trial. US-897 was distinct and had far fewer roots than any other rootstock with 10.5 in Field Trial 1 and 13.3 in Field Trial 2. The propagation method had a small effect on the number of root segments in Field Trial 1 – SD trees had 19.2, CT trees had 17.4, and MPG trees had 15.9. However, there were no differences between propagation methods in Field Trial 2 with average counts ranging from 20.9-21.5. </w:t>
      </w:r>
    </w:p>
    <w:p w14:paraId="506BD9D6"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Not surprisingly, the total number of branches from all root segments was highly correlated to the total number of total roots and followed similar patterns in terms of the means separation. US-1516 had the highest number of root branches (24.3-38.1) whereas US-897 had the lowest number of root branches (12.1-14.8). Branch numbers were not significantly different across any of the propagation methods though overall Field Trial 1 root systems had fewer branches (15.4-19.7) than Field Trial 2 (22.1-26.2)</w:t>
      </w:r>
    </w:p>
    <w:p w14:paraId="615BCADF"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t>Root Segment Level Measurements</w:t>
      </w:r>
    </w:p>
    <w:p w14:paraId="564DD6FE" w14:textId="77777777" w:rsidR="00EF6693" w:rsidRDefault="00000000">
      <w:pPr>
        <w:pStyle w:val="Heading4"/>
        <w:rPr>
          <w:rFonts w:ascii="Times New Roman" w:eastAsia="Times New Roman" w:hAnsi="Times New Roman" w:cs="Times New Roman"/>
          <w:sz w:val="24"/>
          <w:szCs w:val="24"/>
        </w:rPr>
      </w:pPr>
      <w:r>
        <w:rPr>
          <w:rFonts w:ascii="Times New Roman" w:eastAsia="Times New Roman" w:hAnsi="Times New Roman" w:cs="Times New Roman"/>
          <w:sz w:val="24"/>
          <w:szCs w:val="24"/>
        </w:rPr>
        <w:t>Binary Categorical Scores</w:t>
      </w:r>
    </w:p>
    <w:p w14:paraId="636756AF"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proportion of root segments belonging to different binary categories were modeled using logistic mixed effects regression models. All models had a good fit with a Chi squared deviance test, except for the branched segments model for Field Trial 1. Roots with lateral emergence were scored with a ‘1’, vertical growth in the soil profile scored as a ‘0’, and roots with lateral emergent growth were more common than vertical roots. US-897 had the lowest proportion of lateral roots of all the rootstocks (0.501 in Field Trial 1 and 0.642 in Field Trial 2), compared to US-1516, US-812, and US-942 which ranged from 0.740 – 0.762 in Field Trial 1 and 0.776 – 0.813 in Field Trial 2. There were also significant differences between the propagation methods in both field trials with CT and SD propagated trees having a lower proportion of lateral roots (0.632 – 0.691 Field Trial 1 and 0.721 – 0.733 Field Trial 2) compared to MPG propagations (0.762 and 0.811 in Field Trial 1 and Field Trial 2, respectively). </w:t>
      </w:r>
    </w:p>
    <w:p w14:paraId="20084081"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Roots were also rated as ‘straight’ or ‘curved’ as mutually exclusive, binary categories. US-897 also have a lower proportion of straight roots in both trials (0.165 and 0.210 in FT1 and FT2) whereas the other rootstocks had more straight roots (0.418 - 0.478 and 0.372 – 0.428 in FT1 and FT2). There were no differences in these proportions between propagation methods in either trial and values ranged from 0.353 – 0.399 and 0.304 – 0.368 in FT1 and FT2, respectively. Regardless, across the board, the proportion of straight roots was lower than the alternative proportion of curved roots.</w:t>
      </w:r>
    </w:p>
    <w:p w14:paraId="127852F1"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 segments were also scored as ‘root bound’, ‘knotted’, ‘broken’, and ‘branched’. Across most categories, US-897 proportion means separated distinctly from the other rootstocks, whereas there were very few differences between propagation methods. US-897 had the highest proportion of root bound root segments in both trials (0.565 and 0.428 in FT1 and FT2) compared to the other rootstocks ranging from 0.271 – 0.278 in FT1 and 0.224 – 0.247 in FT2. No differences were detected between propagation methods. US-897 also had the highest proportion of knotted roots in both trials (0.568 and 0.540 in FT1 and FT2) but the differences with the other rootstocks were smaller in FT2 compared to FT1. Propagation method had no effect on the ‘knotted’ score.</w:t>
      </w:r>
    </w:p>
    <w:p w14:paraId="67A96EA2"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Root segments broke during the excavation process. Interestingly, in both trials US-1516 had the lowest proportion of broken segments compared to all the other varieties. In FT1, US-1516 was 0.330 compared to US-942 (0.435) and US-897 (0.606), but was not significantly different from US-812. In FT2, the proportion of broken US-1516 roots was 0.454, compared to 0.620 – 0.708 for the other rootstocks. Propagation method had no effect in FT1, yet small, significant effects </w:t>
      </w:r>
      <w:r>
        <w:rPr>
          <w:rFonts w:ascii="Times New Roman" w:eastAsia="Times New Roman" w:hAnsi="Times New Roman" w:cs="Times New Roman"/>
          <w:sz w:val="24"/>
          <w:szCs w:val="24"/>
        </w:rPr>
        <w:lastRenderedPageBreak/>
        <w:t>in FT2 – SD propagations had the most broken roots (0.627) while MPG had the least (0.551), and CT was not different from either mean proportion (0.615)</w:t>
      </w:r>
    </w:p>
    <w:p w14:paraId="213A2645"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Trees in FT1 had no detectable differences in the proportion of root segments with branch points across either rootstocks or propagation methods even though the absolute number of branch points was significantly different as shown in table (XXXX). Proportions ranged from 0.345 to 0.406 across all factors, but the model deviance fit was poor (p=0.2416) indicating some other factors may be at play. The model fit was much better for FT2 (p=0.0027) and there were differences both between rootstock and the propagation methods. US-897 had the highest proportion of root segments with branch points (0.394) whereas US-812 root systems had the lowest proportion of roots with branch points (0.318). Both US-1516 and US-942 did not differ significantly from either extreme (0.372 - 0.376). CT propagated rootstocks had the lowest proportion of roots with branch points at 0.319 and were significantly different from MPG and SD propagations which ranged from 0.385 to 0.391.</w:t>
      </w:r>
    </w:p>
    <w:p w14:paraId="59488D66" w14:textId="77777777" w:rsidR="00EF6693" w:rsidRDefault="00000000">
      <w:pPr>
        <w:pStyle w:val="Heading4"/>
        <w:rPr>
          <w:rFonts w:ascii="Times New Roman" w:eastAsia="Times New Roman" w:hAnsi="Times New Roman" w:cs="Times New Roman"/>
          <w:sz w:val="24"/>
          <w:szCs w:val="24"/>
        </w:rPr>
      </w:pPr>
      <w:r>
        <w:rPr>
          <w:rFonts w:ascii="Times New Roman" w:eastAsia="Times New Roman" w:hAnsi="Times New Roman" w:cs="Times New Roman"/>
          <w:sz w:val="24"/>
          <w:szCs w:val="24"/>
        </w:rPr>
        <w:t>Root Segment Depths and Diameters</w:t>
      </w:r>
    </w:p>
    <w:p w14:paraId="598D4494"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root segment depths and diameters were analyzed using linear mixed effects models. In FT1 there were no differences between the average root segment divergence depth and they ranged from 7.75 – 8.90cm. In contrast, differences were observed in FT2 – US-1516 had the shallowest mean segment depth at 6.47cm and differed significantly from the other rootstocks ranging from 7.53 – 7.97cm. Between propagation methods, SD trees had the deepest segment divergence depth at 9.31cm in FT1 and 8.62cm in FT2. CT and MPG were similar in FT1 (7.72 and 7.84cm, respectively) but differed significantly in FT2 (7.33cm compared to 6.44cm).</w:t>
      </w:r>
    </w:p>
    <w:p w14:paraId="2414F919"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mean root segment emergence depth from the central root core was much deeper for US-897 compared to all other rootstocks across both trials (17.18cm in FT1 and 13.68cm in FT2). Emergence depth did not differ significantly between US-1516, US-812, and US-942 in FT1 and ranged from 11.58cm to 12.6cm whereas US-1516 had the shallowest depth in FT2 (9.98cm) followed by US-942 (10.42cm), and US-812 (11.89cm). Emergence depth was similar across all propagation methods in FT1 (12.83 – 13.99cm) but differed between MPG propagations (10.38cm) and CT (11.69cm) and SD (12.41cm) trees in FT2.</w:t>
      </w:r>
    </w:p>
    <w:p w14:paraId="756AF424"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Basal root segment diameters were measured at the point of segment divergence, and distal diameters were measured 10cm from the basal measurement point. In both trials basal diameters were significant but clustered mainly into two overlapping groups. US-812 and US-942 tended to have higher diameters at 12.14 – 12.29mm in FT1 and 12.20 – 12.83mm in FT2 whereas the other rootstocks range from 11.0 – 11.20mm in FT1 and 11.25 – 11.90mm in FT2. SD propagations had the lowest basal diameters in FT1 (10.53mm) compared to CT and MPG (11.81mm and 12.64mm, respectively), and in FT2 (11.50mm) compared to CT (12.30mm, not significant) and MPG (12.34mm). </w:t>
      </w:r>
    </w:p>
    <w:p w14:paraId="3BE203FD"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Distal root diameters followed a similar pattern. In FT1, the largest diameter was associated with US-942 with a mean distal diameter of 7.90mm and the smallest mean diameter was associated with US-1516 at 6.88mm. Neither US-812 nor US-897 differed from either extreme, and ranged from 7.18 to 7.28mm. The trend was similar in FT2 except that US-812 had the largest diameter </w:t>
      </w:r>
      <w:r>
        <w:rPr>
          <w:rFonts w:ascii="Times New Roman" w:eastAsia="Times New Roman" w:hAnsi="Times New Roman" w:cs="Times New Roman"/>
          <w:sz w:val="24"/>
          <w:szCs w:val="24"/>
        </w:rPr>
        <w:lastRenderedPageBreak/>
        <w:t>at 8.23mm though US-1516 was still the smallest at 6.77mm. US-942 and US-897 did not differ from the extremes at 7.45 and 7.57mm, respectively. Propagation methods in FT1 showed differences between SD propagations (6.76mm) and CT and MPG propagations (7.45mm and 7.72mm, respectively). No differences in the root segment distal diameters were found between propagation methods in FT2 though the diameters were slightly larger than FT1 and ranged from 7.14mm to 8.02mm.</w:t>
      </w:r>
    </w:p>
    <w:p w14:paraId="5B9DFF94" w14:textId="77777777" w:rsidR="00EF6693"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Tree Excavation and Image Analysis</w:t>
      </w:r>
    </w:p>
    <w:p w14:paraId="79E4C476"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t>Peak Excavation Force Analysis</w:t>
      </w:r>
    </w:p>
    <w:p w14:paraId="464F1325"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Tree peak excavation force was measured using a digital force gauge attached to an ATV winch as described above. The peak force for all trees was expressed in Newtons and standardized to three feet above the soil level on all trees. While all trees in FT1 were fully excavated by winch, none of the data was able to be recovered due to technical issues with the force gauge data and the angle measurement timestamp integration. The mean excavation force observed for FT2 across all rootstock varieties and propagation methods was 734.86 N with a standard deviation of 386.7 N. The standardized forces were modeled using a linear mixed effects model. Rootstock variety was a highly significant factor (p=6.697e-06), whereas the propagation method used was marginally significant at (p=0.0385). The interaction between Rootstock and propagation method (p=0.0817) was not a significant factor in the standardized excavation force at the </w:t>
      </w:r>
      <m:oMath>
        <m:r>
          <w:rPr>
            <w:rFonts w:ascii="Cambria Math" w:hAnsi="Cambria Math"/>
          </w:rPr>
          <m:t>α=0.05</m:t>
        </m:r>
      </m:oMath>
      <w:r>
        <w:rPr>
          <w:rFonts w:ascii="Times New Roman" w:eastAsia="Times New Roman" w:hAnsi="Times New Roman" w:cs="Times New Roman"/>
          <w:sz w:val="24"/>
          <w:szCs w:val="24"/>
        </w:rPr>
        <w:t xml:space="preserve">level and thus was not analyzed further. The highest excavation forces were observed for US-1516 with a marginal mean of 942 N, whereas US-897 had a mean excavation of almost half that level at 510 N. Both US-812 and US-942 were measured to have intermediate excavation forces ranging from 787 and 722 N, respectively. US-897 excavation forces were significantly lower than any of the other rootstocks while US-1516 was only significantly higher than US-897 and US-942. Seedling propagated trees had the highest measured excavation forces at 833 N, while </w:t>
      </w:r>
      <w:proofErr w:type="spellStart"/>
      <w:r>
        <w:rPr>
          <w:rFonts w:ascii="Times New Roman" w:eastAsia="Times New Roman" w:hAnsi="Times New Roman" w:cs="Times New Roman"/>
          <w:sz w:val="24"/>
          <w:szCs w:val="24"/>
        </w:rPr>
        <w:t>micropropagated</w:t>
      </w:r>
      <w:proofErr w:type="spellEnd"/>
      <w:r>
        <w:rPr>
          <w:rFonts w:ascii="Times New Roman" w:eastAsia="Times New Roman" w:hAnsi="Times New Roman" w:cs="Times New Roman"/>
          <w:sz w:val="24"/>
          <w:szCs w:val="24"/>
        </w:rPr>
        <w:t xml:space="preserve"> trees were the lowest at 656 N. Cutting propagated trees had a mean excavation force of 731 N. The only differences between propagation methods were between the seedling trees and micropropagation. Figures XX show the distribution of the standardized peak excavation forces between rootstock varieties while figure XX shows the force distributions between propagation methods. The density plot shown in figure XX clearly shows the tight distributions that exist within rootstock varieties but highlights some of the differences between US-1516 and US-812 within seedling and micropropagation methods. </w:t>
      </w:r>
    </w:p>
    <w:p w14:paraId="795AB50B"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Peak excavation force across all rootstocks and propagation types was highly correlated with key tree growth metrics such as rootstock circumference (r=0.68, p&lt;&lt;0.0001), scion circumference (r=0.55, p&lt;&lt;0.0001), tree height (cm) (r=0.34, p&lt;&lt;0.0001), and canopy diameter (r=0.52, p&lt;&lt;0.0001) as shown in figure XX, but was much less correlated with any root characteristics associated with any individual root system such as the total number of root segments (r=0.18, p&lt;0.05), mean basal root segment diameter (r=0.16, NS), proportion of root segments with lateral emergence (r=-0.2, p&lt;0.05), proportion of root bound segments (r=-0.22, p&lt;0.05), and the proportion of broken root segments (r=-0.1, NS) (Figure XX)</w:t>
      </w:r>
    </w:p>
    <w:p w14:paraId="7728E0ED" w14:textId="77777777" w:rsidR="00EF6693" w:rsidRDefault="00000000">
      <w:pPr>
        <w:pStyle w:val="Heading3"/>
        <w:rPr>
          <w:rFonts w:ascii="Times New Roman" w:eastAsia="Times New Roman" w:hAnsi="Times New Roman" w:cs="Times New Roman"/>
        </w:rPr>
      </w:pPr>
      <w:r>
        <w:rPr>
          <w:rFonts w:ascii="Times New Roman" w:eastAsia="Times New Roman" w:hAnsi="Times New Roman" w:cs="Times New Roman"/>
        </w:rPr>
        <w:lastRenderedPageBreak/>
        <w:t>Radial Root System Image Analysis</w:t>
      </w:r>
    </w:p>
    <w:p w14:paraId="59FE0F3F"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Morphological measurements were taken on the digitally pruned root systems and the data from each trial was analyzed separately. The convex hull area (CHA) was analyzed using mixed effects modeling with block as a random effect. The overall mean CHA from root systems in both trials was 2.84E6 square pixels with a standard deviation of 1.50E6. The measured areas ranged from 5.2E4 to 5.87E6A across both trials. Root systems in FT1 trended towards the larger size with a mean area of 3.0E6 while FT2 root systems had a slightly smaller mean of 2.72E6. Rootstock cultivar was a highly significant factor in both trial models (p</w:t>
      </w:r>
      <m:oMath>
        <m:r>
          <w:rPr>
            <w:rFonts w:ascii="Cambria Math" w:hAnsi="Cambria Math"/>
          </w:rPr>
          <m:t>≈</m:t>
        </m:r>
      </m:oMath>
      <w:r>
        <w:rPr>
          <w:rFonts w:ascii="Times New Roman" w:eastAsia="Times New Roman" w:hAnsi="Times New Roman" w:cs="Times New Roman"/>
          <w:sz w:val="24"/>
          <w:szCs w:val="24"/>
        </w:rPr>
        <w:t>0 in FT1, and p=2.726E-10 in FT2, Table 7). The rootstock variety with the largest CHA was US-1516 in both trials with a marginal means of 3.66E6 px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(FT1) and 3.26E6 px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(FT2) but was not significantly larger than either US-812 or US-942. However, the CHA for US-897 was roughly half that of any other rootstock at 1.35E6 px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and 1.58E6 px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for FT1 and FT2, respectively. The propagation method was less significant (p=0.008025, FT1, and p=0.02574, FT2) and the only differences found were between seedlings and the other two methods. Interestingly, there was a pattern differential between the two field trials where seedling propagated trees had the highest CHA in FT1 (3.40E6) compared to CT (2.7E6) and MPG (2.81E6) but the lowest CHA in FT2 (2.35E6) compared to 2.90E6 for both CT and MPG trees. </w:t>
      </w:r>
    </w:p>
    <w:p w14:paraId="65DFE7DD"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Solidity is the ratio of an object’s projected area and its CHA, with more ‘solid’ objects having a solidity closer to 1. The observed solidity over all root system ranged from very sparse (solidity=0.113) to moderately dense (0.639), however, the overall mean solidity of the root systems’ in both trials was 0.261. Trees in FT1 had a slightly lower mean solidity (0.254) compared to FT2 (0.267) but the difference was not significant (p=0.15).  Rootstock cultivar was a highly significant factor in FT1 (p=1.324E-07), but insignificant in FT2 (p=0.37) as shown in table 7. US-897 had the highest solidity of any variety in FT1 at 0.323, compared with the other three rootstocks ranging from 0.222 to 0.247. In FT2 there were no significant differences between rootstocks and the solidity ranged from 0.254 to 0.282. In contrast, the propagation method was highly insignificant in FT1 (p=0.975) but moderately significant in FT2 (p=0.01803). In FT2, seedling trees had the highest solidity of any method (0.291) and separated from cuttings (0.251) upon a Tukey’s </w:t>
      </w:r>
      <w:r>
        <w:rPr>
          <w:rFonts w:ascii="Times New Roman" w:eastAsia="Times New Roman" w:hAnsi="Times New Roman" w:cs="Times New Roman"/>
          <w:i/>
          <w:iCs/>
          <w:sz w:val="24"/>
          <w:szCs w:val="24"/>
        </w:rPr>
        <w:t xml:space="preserve">post-hoc </w:t>
      </w:r>
      <w:r>
        <w:rPr>
          <w:rFonts w:ascii="Times New Roman" w:eastAsia="Times New Roman" w:hAnsi="Times New Roman" w:cs="Times New Roman"/>
          <w:sz w:val="24"/>
          <w:szCs w:val="24"/>
        </w:rPr>
        <w:t xml:space="preserve">test. </w:t>
      </w:r>
    </w:p>
    <w:p w14:paraId="433EED62"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 system CHA and solidity were non-linearly correlated in FT1 when tested using a Xi correlation test (</w:t>
      </w:r>
      <m:oMath>
        <m:sSub>
          <m:sSubPr>
            <m:ctrlPr>
              <w:rPr>
                <w:rFonts w:ascii="Cambria Math" w:hAnsi="Cambria Math"/>
              </w:rPr>
            </m:ctrlPr>
          </m:sSubPr>
          <m:e>
            <m:r>
              <w:rPr>
                <w:rFonts w:ascii="Cambria Math" w:hAnsi="Cambria Math"/>
              </w:rPr>
              <m:t>ξ</m:t>
            </m:r>
          </m:e>
          <m:sub>
            <m:r>
              <w:rPr>
                <w:rFonts w:ascii="Cambria Math" w:hAnsi="Cambria Math"/>
              </w:rPr>
              <m:t>ft1</m:t>
            </m:r>
          </m:sub>
        </m:sSub>
        <m:r>
          <w:rPr>
            <w:rFonts w:ascii="Cambria Math" w:hAnsi="Cambria Math"/>
          </w:rPr>
          <m:t>=0.1752</m:t>
        </m:r>
      </m:oMath>
      <w:r>
        <w:rPr>
          <w:rFonts w:ascii="Times New Roman" w:eastAsia="Times New Roman" w:hAnsi="Times New Roman" w:cs="Times New Roman"/>
          <w:sz w:val="24"/>
          <w:szCs w:val="24"/>
        </w:rPr>
        <w:t>), less so in FT2 (</w:t>
      </w:r>
      <m:oMath>
        <m:sSub>
          <m:sSubPr>
            <m:ctrlPr>
              <w:rPr>
                <w:rFonts w:ascii="Cambria Math" w:hAnsi="Cambria Math"/>
              </w:rPr>
            </m:ctrlPr>
          </m:sSubPr>
          <m:e>
            <m:r>
              <w:rPr>
                <w:rFonts w:ascii="Cambria Math" w:hAnsi="Cambria Math"/>
              </w:rPr>
              <m:t>ξ</m:t>
            </m:r>
          </m:e>
          <m:sub>
            <m:r>
              <w:rPr>
                <w:rFonts w:ascii="Cambria Math" w:hAnsi="Cambria Math"/>
              </w:rPr>
              <m:t>ft2</m:t>
            </m:r>
          </m:sub>
        </m:sSub>
        <m:r>
          <w:rPr>
            <w:rFonts w:ascii="Cambria Math" w:hAnsi="Cambria Math"/>
          </w:rPr>
          <m:t>=0.0421</m:t>
        </m:r>
      </m:oMath>
      <w:r>
        <w:rPr>
          <w:rFonts w:ascii="Times New Roman" w:eastAsia="Times New Roman" w:hAnsi="Times New Roman" w:cs="Times New Roman"/>
          <w:sz w:val="24"/>
          <w:szCs w:val="24"/>
        </w:rPr>
        <w:t>) as shown in figure 18. Root systems with very small CHAs, i.e., smaller root systems tend to have much more dense, compact root structures, compared to root systems that are large and spread out further. This trend though, seems only to hold at the lower end of the area range as the CHA approaches zero. Solidity held stable once the trees’ CHA reached around 2.00E6. In FT1, US-897 has the smallest convex hull, thus accounting for the vast majority of the high solidity root systems in FT1 as evidenced by figure XX. In FT2, not only were US-897 root systems slightly larger than in FT1, the negative correlation between CHA and solidity is much less pronounced.</w:t>
      </w:r>
    </w:p>
    <w:p w14:paraId="3188D819"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Root system asymmetry index (ASI) ranged from 0.08591 (very symmetric) to 0.49285 (moderately asymmetric) with a mean across both trials of 0.3151. Both rootstock variety and propagation method were significant factors in FT1 (p=0.0286 , p=0.00156, respectively), </w:t>
      </w:r>
      <w:r>
        <w:rPr>
          <w:rFonts w:ascii="Times New Roman" w:eastAsia="Times New Roman" w:hAnsi="Times New Roman" w:cs="Times New Roman"/>
          <w:sz w:val="24"/>
          <w:szCs w:val="24"/>
        </w:rPr>
        <w:lastRenderedPageBreak/>
        <w:t>however, neither were significant for FT2 (Table 7). US-897 had the most asymmetric root systems in FT1 (ASI=0.346), followed by US-942 (0.303), US-1516 (0.294), and US-812 (0.293); the only significant differences was between US-897 and US-812. FT1 Seedling propagated trees were, on average, more symmetric (ASI=0.272) than cuttings or micropropagation root systems (0.331 and 0.324, respectively). There was a strong negative correlation between the CHA and the ASI (</w:t>
      </w:r>
      <m:oMath>
        <m:sSub>
          <m:sSubPr>
            <m:ctrlPr>
              <w:rPr>
                <w:rFonts w:ascii="Cambria Math" w:hAnsi="Cambria Math"/>
              </w:rPr>
            </m:ctrlPr>
          </m:sSubPr>
          <m:e>
            <m:r>
              <w:rPr>
                <w:rFonts w:ascii="Cambria Math" w:hAnsi="Cambria Math"/>
              </w:rPr>
              <m:t>ξ</m:t>
            </m:r>
          </m:e>
          <m:sub>
            <m:r>
              <w:rPr>
                <w:rFonts w:ascii="Cambria Math" w:hAnsi="Cambria Math"/>
              </w:rPr>
              <m:t>ft1</m:t>
            </m:r>
          </m:sub>
        </m:sSub>
        <m:r>
          <w:rPr>
            <w:rFonts w:ascii="Cambria Math" w:hAnsi="Cambria Math"/>
          </w:rPr>
          <m:t>=0.389,</m:t>
        </m:r>
        <m:sSub>
          <m:sSubPr>
            <m:ctrlPr>
              <w:rPr>
                <w:rFonts w:ascii="Cambria Math" w:hAnsi="Cambria Math"/>
              </w:rPr>
            </m:ctrlPr>
          </m:sSubPr>
          <m:e>
            <m:r>
              <w:rPr>
                <w:rFonts w:ascii="Cambria Math" w:hAnsi="Cambria Math"/>
              </w:rPr>
              <m:t>ρ</m:t>
            </m:r>
          </m:e>
          <m:sub>
            <m:r>
              <w:rPr>
                <w:rFonts w:ascii="Cambria Math" w:hAnsi="Cambria Math"/>
              </w:rPr>
              <m:t>ft1</m:t>
            </m:r>
          </m:sub>
        </m:sSub>
        <m:r>
          <w:rPr>
            <w:rFonts w:ascii="Cambria Math" w:hAnsi="Cambria Math"/>
          </w:rPr>
          <m:t>=-0.6426</m:t>
        </m:r>
      </m:oMath>
      <w:r>
        <w:rPr>
          <w:rFonts w:ascii="Times New Roman" w:eastAsia="Times New Roman" w:hAnsi="Times New Roman" w:cs="Times New Roman"/>
          <w:sz w:val="24"/>
          <w:szCs w:val="24"/>
        </w:rPr>
        <w:t>) for FT1 and (</w:t>
      </w:r>
      <m:oMath>
        <m:sSub>
          <m:sSubPr>
            <m:ctrlPr>
              <w:rPr>
                <w:rFonts w:ascii="Cambria Math" w:hAnsi="Cambria Math"/>
              </w:rPr>
            </m:ctrlPr>
          </m:sSubPr>
          <m:e>
            <m:r>
              <w:rPr>
                <w:rFonts w:ascii="Cambria Math" w:hAnsi="Cambria Math"/>
              </w:rPr>
              <m:t>ξ</m:t>
            </m:r>
          </m:e>
          <m:sub>
            <m:r>
              <w:rPr>
                <w:rFonts w:ascii="Cambria Math" w:hAnsi="Cambria Math"/>
              </w:rPr>
              <m:t>ft1</m:t>
            </m:r>
          </m:sub>
        </m:sSub>
        <m:r>
          <w:rPr>
            <w:rFonts w:ascii="Cambria Math" w:hAnsi="Cambria Math"/>
          </w:rPr>
          <m:t>=0.2737,</m:t>
        </m:r>
        <m:sSub>
          <m:sSubPr>
            <m:ctrlPr>
              <w:rPr>
                <w:rFonts w:ascii="Cambria Math" w:hAnsi="Cambria Math"/>
              </w:rPr>
            </m:ctrlPr>
          </m:sSubPr>
          <m:e>
            <m:r>
              <w:rPr>
                <w:rFonts w:ascii="Cambria Math" w:hAnsi="Cambria Math"/>
              </w:rPr>
              <m:t>ρ</m:t>
            </m:r>
          </m:e>
          <m:sub>
            <m:r>
              <w:rPr>
                <w:rFonts w:ascii="Cambria Math" w:hAnsi="Cambria Math"/>
              </w:rPr>
              <m:t>ft1</m:t>
            </m:r>
          </m:sub>
        </m:sSub>
        <m:r>
          <w:rPr>
            <w:rFonts w:ascii="Cambria Math" w:hAnsi="Cambria Math"/>
          </w:rPr>
          <m:t>=-0.6023</m:t>
        </m:r>
      </m:oMath>
      <w:r>
        <w:rPr>
          <w:rFonts w:ascii="Times New Roman" w:eastAsia="Times New Roman" w:hAnsi="Times New Roman" w:cs="Times New Roman"/>
          <w:sz w:val="24"/>
          <w:szCs w:val="24"/>
        </w:rPr>
        <w:t xml:space="preserve">) in FT2 indicating that larger root systems tend to be associated with more symmetrical radial root distribution, although this trend appears to be more strongly reflected in rootstocks other than US-897 in FT1 (figure 7). </w:t>
      </w:r>
    </w:p>
    <w:p w14:paraId="0A43F1BC"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Peak excavation force was significantly correlated with several key metrics derived from the radial image analysis (Figure 17). There was a moderate positive correlation with both CHA (</w:t>
      </w:r>
      <m:oMath>
        <m:r>
          <w:rPr>
            <w:rFonts w:ascii="Cambria Math" w:hAnsi="Cambria Math"/>
          </w:rPr>
          <m:t>ρ=0.506</m:t>
        </m:r>
      </m:oMath>
      <w:r>
        <w:rPr>
          <w:rFonts w:ascii="Times New Roman" w:eastAsia="Times New Roman" w:hAnsi="Times New Roman" w:cs="Times New Roman"/>
          <w:sz w:val="24"/>
          <w:szCs w:val="24"/>
        </w:rPr>
        <w:t>p=3.35E-10), and the total projected root area (</w:t>
      </w:r>
      <m:oMath>
        <m:r>
          <w:rPr>
            <w:rFonts w:ascii="Cambria Math" w:hAnsi="Cambria Math"/>
          </w:rPr>
          <m:t>ρ=0.553</m:t>
        </m:r>
      </m:oMath>
      <w:r>
        <w:rPr>
          <w:rFonts w:ascii="Times New Roman" w:eastAsia="Times New Roman" w:hAnsi="Times New Roman" w:cs="Times New Roman"/>
          <w:sz w:val="24"/>
          <w:szCs w:val="24"/>
        </w:rPr>
        <w:t>, p=3.06E-12), however, a complete lack of any correlation with root system solidity (</w:t>
      </w:r>
      <m:oMath>
        <m:r>
          <w:rPr>
            <w:rFonts w:ascii="Cambria Math" w:hAnsi="Cambria Math"/>
          </w:rPr>
          <m:t>ρ=0.044</m:t>
        </m:r>
      </m:oMath>
      <w:r>
        <w:rPr>
          <w:rFonts w:ascii="Times New Roman" w:eastAsia="Times New Roman" w:hAnsi="Times New Roman" w:cs="Times New Roman"/>
          <w:sz w:val="24"/>
          <w:szCs w:val="24"/>
        </w:rPr>
        <w:t>, p=0.609). ASI showed a small but significant negative correlation with the peak excavation force (</w:t>
      </w:r>
      <m:oMath>
        <m:r>
          <w:rPr>
            <w:rFonts w:ascii="Cambria Math" w:hAnsi="Cambria Math"/>
          </w:rPr>
          <m:t>ρ=-0.26</m:t>
        </m:r>
      </m:oMath>
      <w:r>
        <w:rPr>
          <w:rFonts w:ascii="Times New Roman" w:eastAsia="Times New Roman" w:hAnsi="Times New Roman" w:cs="Times New Roman"/>
          <w:sz w:val="24"/>
          <w:szCs w:val="24"/>
        </w:rPr>
        <w:t>, p=0.0025)</w:t>
      </w:r>
    </w:p>
    <w:p w14:paraId="595BABC9" w14:textId="77777777" w:rsidR="00EF6693" w:rsidRDefault="00000000">
      <w:pPr>
        <w:pStyle w:val="Heading3"/>
      </w:pPr>
      <w:r>
        <w:t>PLSR Modeling and Root System Area Importance</w:t>
      </w:r>
    </w:p>
    <w:p w14:paraId="7434D03A" w14:textId="77777777" w:rsidR="00EF6693" w:rsidRDefault="00000000">
      <w:r>
        <w:t>We used the radial density data which included ‘solidity’ measurements taken on distinct angular slices and radii from the center of the tree. The root system pixels were divided into a total of 90 radial slices (4° each) and 30 radii in one centimeter increments for a total of 2700 distinct density measurements per root system. Since it is possible to have high correlation between neighboring quadrants, we used PLSR models to reduce the dimensionality of the data and find the components that correspond most to peak excavation force. In doing so, we were able to extract the PLS coefficients for each quadrant from the first PLS component to determine if they positively or negatively impacted the excavation force.</w:t>
      </w:r>
    </w:p>
    <w:p w14:paraId="3F699B34" w14:textId="77777777" w:rsidR="00EF6693" w:rsidRDefault="00000000">
      <w:r>
        <w:t>We fit a PLSR model to the centered and scaled density data along with 36 other root system level measurements from FT2 root systems, including tree growth measurements such as height and rootstock/scion circumference, CHA, total number of root segments, etc. We used leave-one-out cross validation and then extracted the coefficients from the first component to see if there were any visible patterns. After slicing the first 36 coefficients (included for predictive purposes) we plotted the coefficients in figure XX. There is a strong, periodic signal in the coefficients indicating that certain areas of the root system have more impact on the peak excavation force than others. We removed the baseline trend by fitting a smooth spline to the data and subtracting it from the PLS coefficients to mean center them, and then applied a Gaussian smoothing kernel to filter out the signal noise. We performed a fast Fourier transform of the smoothed coefficients and extracted the top few frequencies from the power spectrum. The results are shown in table XX.</w:t>
      </w:r>
    </w:p>
    <w:p w14:paraId="2F2E8960" w14:textId="77777777" w:rsidR="00EF6693" w:rsidRDefault="00000000">
      <w:r>
        <w:t xml:space="preserve">The revealed that the highest powered frequency was associated with a 360 degree interval in the root quadrant density, followed by 180 degrees. There were several minor peaks in the power spectrum at 120 degrees, 183, 374, </w:t>
      </w:r>
      <w:proofErr w:type="spellStart"/>
      <w:r>
        <w:t>etc</w:t>
      </w:r>
      <w:proofErr w:type="spellEnd"/>
      <w:r>
        <w:t xml:space="preserve"> which are most likely redundant frequencies. A small peak, but within the top ten spectra, was associated with repeating patterns every 90 degrees. All of the smoothed coefficients were aggregated by radial degree and overlaid onto each other. As expected the, periodic pattern overlays onto itself nicely, however, the highest coefficients do not line up exactly as expected given the nature of root systems. While the coefficients at 90 degrees (On the side of the root system, perpendicular to the direction of pull) are negative, there is no corresponding symmetry on the opposite </w:t>
      </w:r>
      <w:r>
        <w:lastRenderedPageBreak/>
        <w:t xml:space="preserve">side of the tree at 270 degrees – all of the coefficients there are positive instead of negative. Similarly, while all of the coefficients at 180 degrees are indeed above zero, indicating that they have an additive </w:t>
      </w:r>
      <w:proofErr w:type="spellStart"/>
      <w:r>
        <w:t>affect</w:t>
      </w:r>
      <w:proofErr w:type="spellEnd"/>
      <w:r>
        <w:t xml:space="preserve"> on the normalized excavation force, around 0 degrees and the quadrants close to it, most of the PLS coefficients are centered around 0. In addition around the interval from 290 to 340 degrees all of the coefficients are strongly positive, which was not expected.</w:t>
      </w:r>
      <w:r>
        <w:br w:type="page"/>
      </w:r>
    </w:p>
    <w:p w14:paraId="0E27B00A" w14:textId="77777777" w:rsidR="00EF6693" w:rsidRDefault="00EF6693"/>
    <w:p w14:paraId="4AFE23A4" w14:textId="77777777" w:rsidR="00EF6693" w:rsidRDefault="00000000">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w:t>
      </w:r>
    </w:p>
    <w:p w14:paraId="60061E4C" w14:textId="77777777" w:rsidR="00EF6693" w:rsidRDefault="00EF6693">
      <w:pPr>
        <w:rPr>
          <w:rFonts w:ascii="Times New Roman" w:eastAsia="Times New Roman" w:hAnsi="Times New Roman" w:cs="Times New Roman"/>
          <w:sz w:val="24"/>
          <w:szCs w:val="24"/>
        </w:rPr>
      </w:pPr>
    </w:p>
    <w:p w14:paraId="2FD9A84F"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we evaluated the growth, development, and normalized excavation force</w:t>
      </w:r>
    </w:p>
    <w:p w14:paraId="44EAFD9C" w14:textId="77777777" w:rsidR="00EF6693" w:rsidRDefault="00EF6693">
      <w:pPr>
        <w:rPr>
          <w:rFonts w:ascii="Times New Roman" w:eastAsia="Times New Roman" w:hAnsi="Times New Roman" w:cs="Times New Roman"/>
          <w:sz w:val="24"/>
          <w:szCs w:val="24"/>
        </w:rPr>
      </w:pPr>
    </w:p>
    <w:p w14:paraId="4B94D5A5" w14:textId="5F736185" w:rsidR="00EF6693" w:rsidRDefault="00000000">
      <w:r>
        <w:br w:type="page"/>
      </w:r>
      <w:r w:rsidR="004F2317">
        <w:lastRenderedPageBreak/>
        <w:t>The maximum pullover force of the tree was most</w:t>
      </w:r>
      <w:r w:rsidR="00B93D30">
        <w:t xml:space="preserve"> correlated to physical tree growth traits such as the rootstock circumference an</w:t>
      </w:r>
      <w:r w:rsidR="00106621">
        <w:t xml:space="preserve">d canopy diameter. Similar results have also been reported in the tree pulling literature. A study by Peltola </w:t>
      </w:r>
      <w:r w:rsidR="00106621">
        <w:rPr>
          <w:i/>
          <w:iCs/>
        </w:rPr>
        <w:t xml:space="preserve">et al </w:t>
      </w:r>
      <w:r w:rsidR="00106621">
        <w:t>in 2000</w:t>
      </w:r>
      <w:r w:rsidR="005042E8">
        <w:t xml:space="preserve"> showed the </w:t>
      </w:r>
      <w:r w:rsidR="00F2330F">
        <w:t xml:space="preserve">toppling force in Scots pine, Norway spruce, and white birch had the </w:t>
      </w:r>
      <w:r w:rsidR="005042E8">
        <w:t>highest correlations with tree height and tree DBH measurements</w:t>
      </w:r>
      <w:r w:rsidR="005D2BFE">
        <w:t xml:space="preserve">. </w:t>
      </w:r>
      <w:r w:rsidR="00615807">
        <w:t xml:space="preserve">This is relatively unsurprising </w:t>
      </w:r>
      <w:r w:rsidR="00B61BF1">
        <w:t>as we can apply a simple maxim</w:t>
      </w:r>
      <w:r w:rsidR="00AF41AB">
        <w:t>: larger trees require large toppling forces.</w:t>
      </w:r>
      <w:r w:rsidR="00DD63D7">
        <w:t xml:space="preserve"> </w:t>
      </w:r>
    </w:p>
    <w:p w14:paraId="3BDC687F" w14:textId="0BE5E5C0" w:rsidR="00DD63D7" w:rsidRDefault="004A057A">
      <w:r>
        <w:t xml:space="preserve">Root system deterioration due to HLB is a major </w:t>
      </w:r>
      <w:r w:rsidR="00052AF2">
        <w:t xml:space="preserve">problem concerning the anchorage of young citrus trees. </w:t>
      </w:r>
      <w:r w:rsidR="00386E74">
        <w:t>Recent studies (Fernandos ICP studies) hav</w:t>
      </w:r>
      <w:r w:rsidR="00C94ABD">
        <w:t xml:space="preserve">e revealed stark </w:t>
      </w:r>
      <w:proofErr w:type="spellStart"/>
      <w:r w:rsidR="00C94ABD">
        <w:t>constrasts</w:t>
      </w:r>
      <w:proofErr w:type="spellEnd"/>
      <w:r w:rsidR="00C94ABD">
        <w:t xml:space="preserve"> in RSA between non-infected, field-grown trees and </w:t>
      </w:r>
      <w:r w:rsidR="00662DF6">
        <w:t xml:space="preserve">infected trees grown in the same location. </w:t>
      </w:r>
      <w:r w:rsidR="00F553D3">
        <w:t xml:space="preserve">The presence of root rot in </w:t>
      </w:r>
      <w:r w:rsidR="00B15D2E">
        <w:t>Norway spruce stands greatly reduced the ma</w:t>
      </w:r>
      <w:r w:rsidR="009563E5">
        <w:t>ximum bending moments (</w:t>
      </w:r>
      <w:proofErr w:type="spellStart"/>
      <w:r w:rsidR="009563E5">
        <w:t>Krisans</w:t>
      </w:r>
      <w:proofErr w:type="spellEnd"/>
      <w:r w:rsidR="009563E5">
        <w:t xml:space="preserve"> et al 20</w:t>
      </w:r>
      <w:r w:rsidR="00487C12">
        <w:t xml:space="preserve">20). </w:t>
      </w:r>
    </w:p>
    <w:p w14:paraId="534320B5" w14:textId="77777777" w:rsidR="00AF41AB" w:rsidRDefault="00AF41AB"/>
    <w:p w14:paraId="2B2A7A39" w14:textId="77777777" w:rsidR="00EF6693" w:rsidRDefault="00000000">
      <w:pPr>
        <w:pStyle w:val="Heading1"/>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p w14:paraId="3DEEC669" w14:textId="77777777" w:rsidR="00EF6693" w:rsidRDefault="00EF6693">
      <w:pPr>
        <w:rPr>
          <w:rFonts w:ascii="Times New Roman" w:eastAsia="Times New Roman" w:hAnsi="Times New Roman" w:cs="Times New Roman"/>
          <w:b/>
          <w:sz w:val="24"/>
          <w:szCs w:val="24"/>
        </w:rPr>
      </w:pPr>
    </w:p>
    <w:p w14:paraId="3656B9AB" w14:textId="77777777" w:rsidR="00EF6693" w:rsidRDefault="00000000">
      <w:pPr>
        <w:rPr>
          <w:rFonts w:ascii="Times New Roman" w:eastAsia="Times New Roman" w:hAnsi="Times New Roman" w:cs="Times New Roman"/>
          <w:sz w:val="24"/>
          <w:szCs w:val="24"/>
        </w:rPr>
      </w:pPr>
      <w:r>
        <w:br w:type="page"/>
      </w:r>
    </w:p>
    <w:p w14:paraId="3868254A" w14:textId="5FEBBD8E" w:rsidR="001239F1" w:rsidRDefault="001239F1">
      <w:pPr>
        <w:pStyle w:val="Heading1"/>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Acknowledgements</w:t>
      </w:r>
    </w:p>
    <w:p w14:paraId="5507C55E" w14:textId="4F098977" w:rsidR="001239F1" w:rsidRPr="00425801" w:rsidRDefault="00425801" w:rsidP="001239F1">
      <w:pPr>
        <w:rPr>
          <w:rFonts w:ascii="Times New Roman" w:hAnsi="Times New Roman" w:cs="Times New Roman"/>
          <w:sz w:val="24"/>
          <w:szCs w:val="24"/>
        </w:rPr>
      </w:pPr>
      <w:r>
        <w:rPr>
          <w:rFonts w:ascii="Times New Roman" w:hAnsi="Times New Roman" w:cs="Times New Roman"/>
          <w:sz w:val="24"/>
          <w:szCs w:val="24"/>
        </w:rPr>
        <w:t>We would like to thank Adam Hoeffner, Jasmine De Freitas,</w:t>
      </w:r>
      <w:r w:rsidR="00953635">
        <w:rPr>
          <w:rFonts w:ascii="Times New Roman" w:hAnsi="Times New Roman" w:cs="Times New Roman"/>
          <w:sz w:val="24"/>
          <w:szCs w:val="24"/>
        </w:rPr>
        <w:t xml:space="preserve"> Gerardo Moreno, and Franco </w:t>
      </w:r>
      <w:r w:rsidR="008F5A8E">
        <w:rPr>
          <w:rFonts w:ascii="Times New Roman" w:hAnsi="Times New Roman" w:cs="Times New Roman"/>
          <w:sz w:val="24"/>
          <w:szCs w:val="24"/>
        </w:rPr>
        <w:t xml:space="preserve">Gustave for </w:t>
      </w:r>
      <w:r w:rsidR="00756991">
        <w:rPr>
          <w:rFonts w:ascii="Times New Roman" w:hAnsi="Times New Roman" w:cs="Times New Roman"/>
          <w:sz w:val="24"/>
          <w:szCs w:val="24"/>
        </w:rPr>
        <w:t xml:space="preserve">all of their efforts during the tree pulling experiment, </w:t>
      </w:r>
      <w:r w:rsidR="001D585C">
        <w:rPr>
          <w:rFonts w:ascii="Times New Roman" w:hAnsi="Times New Roman" w:cs="Times New Roman"/>
          <w:sz w:val="24"/>
          <w:szCs w:val="24"/>
        </w:rPr>
        <w:t xml:space="preserve">washing root systems, counting and categorizing root segments, and </w:t>
      </w:r>
      <w:r w:rsidR="00433794">
        <w:rPr>
          <w:rFonts w:ascii="Times New Roman" w:hAnsi="Times New Roman" w:cs="Times New Roman"/>
          <w:sz w:val="24"/>
          <w:szCs w:val="24"/>
        </w:rPr>
        <w:t>assisting with root system photography.</w:t>
      </w:r>
    </w:p>
    <w:p w14:paraId="75A2F47D" w14:textId="2B9CC617" w:rsidR="00EF6693" w:rsidRDefault="00000000">
      <w:pPr>
        <w:pStyle w:val="Heading1"/>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Data Availability Statement</w:t>
      </w:r>
    </w:p>
    <w:p w14:paraId="7BAE08AF" w14:textId="13D199FD" w:rsidR="00EF6693" w:rsidRDefault="0080245B">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the image data, along with associated metadata</w:t>
      </w:r>
      <w:r w:rsidR="003727D6">
        <w:rPr>
          <w:rFonts w:ascii="Times New Roman" w:eastAsia="Times New Roman" w:hAnsi="Times New Roman" w:cs="Times New Roman"/>
          <w:sz w:val="24"/>
          <w:szCs w:val="24"/>
        </w:rPr>
        <w:t>, acquired in the trial are publicly available</w:t>
      </w:r>
      <w:r w:rsidR="00F50F98">
        <w:rPr>
          <w:rFonts w:ascii="Times New Roman" w:eastAsia="Times New Roman" w:hAnsi="Times New Roman" w:cs="Times New Roman"/>
          <w:sz w:val="24"/>
          <w:szCs w:val="24"/>
        </w:rPr>
        <w:t xml:space="preserve"> in </w:t>
      </w:r>
      <w:r w:rsidR="00ED0AE5">
        <w:rPr>
          <w:rFonts w:ascii="Times New Roman" w:eastAsia="Times New Roman" w:hAnsi="Times New Roman" w:cs="Times New Roman"/>
          <w:sz w:val="24"/>
          <w:szCs w:val="24"/>
        </w:rPr>
        <w:t xml:space="preserve">the Zenodo repository </w:t>
      </w:r>
      <w:hyperlink r:id="rId8" w:history="1">
        <w:r w:rsidR="00ED0AE5" w:rsidRPr="006707F6">
          <w:rPr>
            <w:rStyle w:val="Hyperlink"/>
            <w:rFonts w:ascii="Times New Roman" w:eastAsia="Times New Roman" w:hAnsi="Times New Roman" w:cs="Times New Roman"/>
            <w:sz w:val="24"/>
            <w:szCs w:val="24"/>
          </w:rPr>
          <w:t>Citrus Tree Root System Dataset: Effects of Propagation Methods on Root Architecture</w:t>
        </w:r>
      </w:hyperlink>
      <w:r w:rsidR="006707F6">
        <w:rPr>
          <w:rFonts w:ascii="Times New Roman" w:eastAsia="Times New Roman" w:hAnsi="Times New Roman" w:cs="Times New Roman"/>
          <w:sz w:val="24"/>
          <w:szCs w:val="24"/>
        </w:rPr>
        <w:t xml:space="preserve">. </w:t>
      </w:r>
      <w:r w:rsidR="008F1DC8">
        <w:rPr>
          <w:rFonts w:ascii="Times New Roman" w:eastAsia="Times New Roman" w:hAnsi="Times New Roman" w:cs="Times New Roman"/>
          <w:sz w:val="24"/>
          <w:szCs w:val="24"/>
        </w:rPr>
        <w:t xml:space="preserve">All tabular data and the R and Python code used to analyze the data in this trial can be found at </w:t>
      </w:r>
      <w:hyperlink r:id="rId9" w:history="1">
        <w:r w:rsidR="00FA546B" w:rsidRPr="00FA546B">
          <w:rPr>
            <w:rStyle w:val="Hyperlink"/>
            <w:rFonts w:ascii="Times New Roman" w:eastAsia="Times New Roman" w:hAnsi="Times New Roman" w:cs="Times New Roman"/>
            <w:sz w:val="24"/>
            <w:szCs w:val="24"/>
          </w:rPr>
          <w:t>https://github.com/BoMeyering/FirmlyRooted_data_analysis.git</w:t>
        </w:r>
      </w:hyperlink>
    </w:p>
    <w:p w14:paraId="122F1996" w14:textId="77777777" w:rsidR="00EF6693" w:rsidRDefault="00000000">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Conflict of Interest Statement</w:t>
      </w:r>
    </w:p>
    <w:p w14:paraId="45FB0818" w14:textId="37D15ED8" w:rsidR="00EF6693" w:rsidRDefault="00843478">
      <w:pPr>
        <w:rPr>
          <w:rFonts w:ascii="Times New Roman" w:eastAsia="Times New Roman" w:hAnsi="Times New Roman" w:cs="Times New Roman"/>
          <w:sz w:val="24"/>
          <w:szCs w:val="24"/>
        </w:rPr>
      </w:pPr>
      <w:r w:rsidRPr="00843478">
        <w:rPr>
          <w:rFonts w:ascii="Times New Roman" w:eastAsia="Times New Roman" w:hAnsi="Times New Roman" w:cs="Times New Roman"/>
          <w:sz w:val="24"/>
          <w:szCs w:val="24"/>
        </w:rPr>
        <w:t>The authors declare no conflicts of interest related to the conduct or reporting of this work. Any mention of specific products, services, or brand names is for informational purposes only and does not imply endorsement by the authors or their affiliated institutions. Other products or methods may be equally suitable.</w:t>
      </w:r>
      <w:r w:rsidR="00000000">
        <w:br w:type="page"/>
      </w:r>
    </w:p>
    <w:p w14:paraId="684EDC58" w14:textId="77777777" w:rsidR="00EF6693" w:rsidRDefault="00000000">
      <w:pPr>
        <w:pStyle w:val="Heading1"/>
        <w:spacing w:before="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CRediT</w:t>
      </w:r>
      <w:proofErr w:type="spellEnd"/>
      <w:r>
        <w:rPr>
          <w:rFonts w:ascii="Times New Roman" w:eastAsia="Times New Roman" w:hAnsi="Times New Roman" w:cs="Times New Roman"/>
          <w:sz w:val="24"/>
          <w:szCs w:val="24"/>
        </w:rPr>
        <w:t xml:space="preserve"> Author Statement</w:t>
      </w:r>
    </w:p>
    <w:p w14:paraId="1D23998D" w14:textId="77777777" w:rsidR="00EF6693"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Bo Meyering</w:t>
      </w:r>
    </w:p>
    <w:p w14:paraId="52A4B73D" w14:textId="77777777" w:rsidR="00EF6693" w:rsidRDefault="00000000">
      <w:pPr>
        <w:pStyle w:val="ListParagraph"/>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Conceptualization (lead)</w:t>
      </w:r>
    </w:p>
    <w:p w14:paraId="4EB6861E" w14:textId="77777777" w:rsidR="00EF6693" w:rsidRDefault="00000000">
      <w:pPr>
        <w:pStyle w:val="ListParagraph"/>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 Curation (lead)</w:t>
      </w:r>
    </w:p>
    <w:p w14:paraId="24BCA861" w14:textId="77777777" w:rsidR="00EF6693" w:rsidRDefault="00000000">
      <w:pPr>
        <w:pStyle w:val="ListParagraph"/>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Formal Analysis (lead)</w:t>
      </w:r>
    </w:p>
    <w:p w14:paraId="74E26519" w14:textId="77777777" w:rsidR="00EF6693" w:rsidRDefault="00000000">
      <w:pPr>
        <w:pStyle w:val="ListParagraph"/>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Investigation (equal)</w:t>
      </w:r>
    </w:p>
    <w:p w14:paraId="552EE7A3" w14:textId="77777777" w:rsidR="00EF6693" w:rsidRDefault="00000000">
      <w:pPr>
        <w:pStyle w:val="ListParagraph"/>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 (lead)</w:t>
      </w:r>
    </w:p>
    <w:p w14:paraId="619D080C" w14:textId="77777777" w:rsidR="00EF6693" w:rsidRDefault="00000000">
      <w:pPr>
        <w:pStyle w:val="ListParagraph"/>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(lead)</w:t>
      </w:r>
    </w:p>
    <w:p w14:paraId="6D33CA38" w14:textId="77777777" w:rsidR="00EF6693" w:rsidRDefault="00000000">
      <w:pPr>
        <w:pStyle w:val="ListParagraph"/>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(equal)</w:t>
      </w:r>
    </w:p>
    <w:p w14:paraId="43BF106D" w14:textId="77777777" w:rsidR="00EF6693" w:rsidRDefault="00000000">
      <w:pPr>
        <w:pStyle w:val="ListParagraph"/>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Writing – Original Draft Preparation (equal)</w:t>
      </w:r>
    </w:p>
    <w:p w14:paraId="77DDA2A8"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Gabriel Pugina</w:t>
      </w:r>
    </w:p>
    <w:p w14:paraId="5CD4A96B" w14:textId="77777777" w:rsidR="00EF6693" w:rsidRDefault="00000000">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Investigation (supporting)</w:t>
      </w:r>
    </w:p>
    <w:p w14:paraId="6FC4019C" w14:textId="77777777" w:rsidR="00EF6693" w:rsidRDefault="00000000">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(equal)</w:t>
      </w:r>
    </w:p>
    <w:p w14:paraId="1E622775" w14:textId="77777777" w:rsidR="00EF6693" w:rsidRDefault="00000000">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Writing – Review and Editing (equal)</w:t>
      </w:r>
    </w:p>
    <w:p w14:paraId="32AF62A2"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Caroline Tardivo</w:t>
      </w:r>
    </w:p>
    <w:p w14:paraId="746F7E70" w14:textId="77777777" w:rsidR="00EF6693" w:rsidRDefault="00000000">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Investigation (supporting)</w:t>
      </w:r>
    </w:p>
    <w:p w14:paraId="192102B0" w14:textId="77777777" w:rsidR="00EF6693" w:rsidRDefault="00000000">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(equal)</w:t>
      </w:r>
    </w:p>
    <w:p w14:paraId="36DCA513" w14:textId="77777777" w:rsidR="00EF6693" w:rsidRDefault="00000000">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Writing – Review and Editing (equal)</w:t>
      </w:r>
    </w:p>
    <w:p w14:paraId="4D2E5329"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Kim Bowman</w:t>
      </w:r>
    </w:p>
    <w:p w14:paraId="743F3480" w14:textId="77777777" w:rsidR="00EF6693" w:rsidRDefault="00000000">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Conceptualization (equal)</w:t>
      </w:r>
    </w:p>
    <w:p w14:paraId="0E2DE154" w14:textId="77777777" w:rsidR="00EF6693" w:rsidRDefault="00000000">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Funding Acquisition (equal)</w:t>
      </w:r>
    </w:p>
    <w:p w14:paraId="57A2F7DC" w14:textId="77777777" w:rsidR="00EF6693" w:rsidRDefault="00000000">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 (equal)</w:t>
      </w:r>
    </w:p>
    <w:p w14:paraId="1C4128C4" w14:textId="77777777" w:rsidR="00EF6693" w:rsidRDefault="00000000">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Administration (supporting)</w:t>
      </w:r>
    </w:p>
    <w:p w14:paraId="33F84B10" w14:textId="77777777" w:rsidR="00EF6693" w:rsidRDefault="00000000">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(equal)</w:t>
      </w:r>
    </w:p>
    <w:p w14:paraId="7B03BF65" w14:textId="77777777" w:rsidR="00EF669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Ute Albrecht</w:t>
      </w:r>
    </w:p>
    <w:p w14:paraId="34A65DAD" w14:textId="77777777" w:rsidR="00EF6693" w:rsidRDefault="00000000">
      <w:pPr>
        <w:pStyle w:val="ListParagraph"/>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Conceptualization (equal)</w:t>
      </w:r>
    </w:p>
    <w:p w14:paraId="75513F10" w14:textId="77777777" w:rsidR="00EF6693" w:rsidRDefault="00000000">
      <w:pPr>
        <w:pStyle w:val="ListParagraph"/>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Funding Acquisition (equal)</w:t>
      </w:r>
    </w:p>
    <w:p w14:paraId="7A10F441" w14:textId="77777777" w:rsidR="00EF6693" w:rsidRDefault="00000000">
      <w:pPr>
        <w:pStyle w:val="ListParagraph"/>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Administration (lead)</w:t>
      </w:r>
    </w:p>
    <w:p w14:paraId="7C63CD36" w14:textId="77777777" w:rsidR="00EF6693" w:rsidRDefault="00000000">
      <w:pPr>
        <w:pStyle w:val="ListParagraph"/>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Supervision (lead)</w:t>
      </w:r>
    </w:p>
    <w:p w14:paraId="3AA0132B" w14:textId="77777777" w:rsidR="00EF6693" w:rsidRDefault="00000000">
      <w:pPr>
        <w:pStyle w:val="ListParagraph"/>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(equal)</w:t>
      </w:r>
    </w:p>
    <w:p w14:paraId="10ABC80A" w14:textId="77777777" w:rsidR="00EF6693" w:rsidRDefault="00000000">
      <w:pPr>
        <w:pStyle w:val="ListParagraph"/>
        <w:numPr>
          <w:ilvl w:val="0"/>
          <w:numId w:val="5"/>
        </w:numPr>
        <w:rPr>
          <w:rFonts w:ascii="Times New Roman" w:eastAsia="Times New Roman" w:hAnsi="Times New Roman" w:cs="Times New Roman"/>
          <w:sz w:val="24"/>
          <w:szCs w:val="24"/>
        </w:rPr>
        <w:sectPr w:rsidR="00EF669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lnNumType w:countBy="1" w:distance="283"/>
          <w:cols w:space="720"/>
          <w:formProt w:val="0"/>
          <w:docGrid w:linePitch="360" w:charSpace="8192"/>
        </w:sectPr>
      </w:pPr>
      <w:r>
        <w:rPr>
          <w:rFonts w:ascii="Times New Roman" w:eastAsia="Times New Roman" w:hAnsi="Times New Roman" w:cs="Times New Roman"/>
          <w:sz w:val="24"/>
          <w:szCs w:val="24"/>
        </w:rPr>
        <w:t>Writing – Original Draft Preparation (equal)</w:t>
      </w:r>
      <w:r>
        <w:br w:type="page"/>
      </w:r>
    </w:p>
    <w:p w14:paraId="77607536" w14:textId="17B26992" w:rsidR="00EF6693" w:rsidRDefault="00000000" w:rsidP="0004268C">
      <w:pPr>
        <w:rPr>
          <w:rFonts w:ascii="Times New Roman" w:hAnsi="Times New Roman" w:cs="Times New Roman"/>
          <w:sz w:val="24"/>
          <w:szCs w:val="24"/>
        </w:rPr>
      </w:pPr>
      <w:r>
        <w:rPr>
          <w:rFonts w:ascii="Times New Roman" w:eastAsia="Times New Roman" w:hAnsi="Times New Roman" w:cs="Times New Roman"/>
          <w:sz w:val="24"/>
          <w:szCs w:val="24"/>
        </w:rPr>
        <w:lastRenderedPageBreak/>
        <w:t>Referen</w:t>
      </w:r>
      <w:r w:rsidR="0004268C">
        <w:rPr>
          <w:rFonts w:ascii="Times New Roman" w:eastAsia="Times New Roman" w:hAnsi="Times New Roman" w:cs="Times New Roman"/>
          <w:sz w:val="24"/>
          <w:szCs w:val="24"/>
        </w:rPr>
        <w:t>ces</w:t>
      </w:r>
    </w:p>
    <w:sectPr w:rsidR="00EF6693" w:rsidSect="0004268C">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lnNumType w:countBy="1" w:distance="283"/>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B11FB" w14:textId="77777777" w:rsidR="006B67D8" w:rsidRDefault="006B67D8">
      <w:pPr>
        <w:spacing w:after="0" w:line="240" w:lineRule="auto"/>
      </w:pPr>
      <w:r>
        <w:separator/>
      </w:r>
    </w:p>
  </w:endnote>
  <w:endnote w:type="continuationSeparator" w:id="0">
    <w:p w14:paraId="6F189666" w14:textId="77777777" w:rsidR="006B67D8" w:rsidRDefault="006B6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1341" w14:textId="77777777" w:rsidR="00EF6693" w:rsidRDefault="00EF6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EF6693" w14:paraId="01DFD5DC" w14:textId="77777777">
      <w:trPr>
        <w:trHeight w:val="300"/>
      </w:trPr>
      <w:tc>
        <w:tcPr>
          <w:tcW w:w="3120" w:type="dxa"/>
        </w:tcPr>
        <w:p w14:paraId="42EF2083" w14:textId="77777777" w:rsidR="00EF6693" w:rsidRDefault="00EF6693">
          <w:pPr>
            <w:pStyle w:val="Header"/>
            <w:ind w:left="-115"/>
          </w:pPr>
        </w:p>
      </w:tc>
      <w:tc>
        <w:tcPr>
          <w:tcW w:w="3120" w:type="dxa"/>
        </w:tcPr>
        <w:p w14:paraId="7B40C951" w14:textId="77777777" w:rsidR="00EF6693" w:rsidRDefault="00EF6693">
          <w:pPr>
            <w:pStyle w:val="Header"/>
            <w:jc w:val="center"/>
          </w:pPr>
        </w:p>
        <w:p w14:paraId="5A408E02" w14:textId="77777777" w:rsidR="00EF6693" w:rsidRDefault="00000000">
          <w:pPr>
            <w:pStyle w:val="Header"/>
            <w:jc w:val="center"/>
          </w:pPr>
          <w:r>
            <w:fldChar w:fldCharType="begin"/>
          </w:r>
          <w:r>
            <w:instrText xml:space="preserve"> PAGE </w:instrText>
          </w:r>
          <w:r>
            <w:fldChar w:fldCharType="separate"/>
          </w:r>
          <w:r>
            <w:t>23</w:t>
          </w:r>
          <w:r>
            <w:fldChar w:fldCharType="end"/>
          </w:r>
        </w:p>
      </w:tc>
      <w:tc>
        <w:tcPr>
          <w:tcW w:w="3120" w:type="dxa"/>
        </w:tcPr>
        <w:p w14:paraId="4B4D7232" w14:textId="77777777" w:rsidR="00EF6693" w:rsidRDefault="00EF6693">
          <w:pPr>
            <w:pStyle w:val="Header"/>
            <w:tabs>
              <w:tab w:val="left" w:pos="2237"/>
            </w:tabs>
            <w:ind w:right="-115"/>
          </w:pPr>
        </w:p>
      </w:tc>
    </w:tr>
  </w:tbl>
  <w:p w14:paraId="2093CA67" w14:textId="77777777" w:rsidR="00EF6693" w:rsidRDefault="00EF66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EF6693" w14:paraId="2B86E569" w14:textId="77777777">
      <w:trPr>
        <w:trHeight w:val="300"/>
      </w:trPr>
      <w:tc>
        <w:tcPr>
          <w:tcW w:w="3120" w:type="dxa"/>
        </w:tcPr>
        <w:p w14:paraId="2503B197" w14:textId="77777777" w:rsidR="00EF6693" w:rsidRDefault="00EF6693">
          <w:pPr>
            <w:pStyle w:val="Header"/>
            <w:ind w:left="-115"/>
          </w:pPr>
        </w:p>
      </w:tc>
      <w:tc>
        <w:tcPr>
          <w:tcW w:w="3120" w:type="dxa"/>
        </w:tcPr>
        <w:p w14:paraId="38288749" w14:textId="77777777" w:rsidR="00EF6693" w:rsidRDefault="00EF6693">
          <w:pPr>
            <w:pStyle w:val="Header"/>
            <w:jc w:val="center"/>
          </w:pPr>
        </w:p>
        <w:p w14:paraId="407CF760" w14:textId="77777777" w:rsidR="00EF6693" w:rsidRDefault="00000000">
          <w:pPr>
            <w:pStyle w:val="Header"/>
            <w:jc w:val="center"/>
          </w:pPr>
          <w:r>
            <w:fldChar w:fldCharType="begin"/>
          </w:r>
          <w:r>
            <w:instrText xml:space="preserve"> PAGE </w:instrText>
          </w:r>
          <w:r>
            <w:fldChar w:fldCharType="separate"/>
          </w:r>
          <w:r>
            <w:t>23</w:t>
          </w:r>
          <w:r>
            <w:fldChar w:fldCharType="end"/>
          </w:r>
        </w:p>
      </w:tc>
      <w:tc>
        <w:tcPr>
          <w:tcW w:w="3120" w:type="dxa"/>
        </w:tcPr>
        <w:p w14:paraId="20BD9A1A" w14:textId="77777777" w:rsidR="00EF6693" w:rsidRDefault="00EF6693">
          <w:pPr>
            <w:pStyle w:val="Header"/>
            <w:tabs>
              <w:tab w:val="left" w:pos="2237"/>
            </w:tabs>
            <w:ind w:right="-115"/>
          </w:pPr>
        </w:p>
      </w:tc>
    </w:tr>
  </w:tbl>
  <w:p w14:paraId="0C136CF1" w14:textId="77777777" w:rsidR="00EF6693" w:rsidRDefault="00EF66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0E74" w14:textId="77777777" w:rsidR="00EF6693" w:rsidRDefault="00EF669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EF6693" w14:paraId="65E35DAB" w14:textId="77777777">
      <w:trPr>
        <w:trHeight w:val="300"/>
      </w:trPr>
      <w:tc>
        <w:tcPr>
          <w:tcW w:w="3120" w:type="dxa"/>
        </w:tcPr>
        <w:p w14:paraId="66A1FAB9" w14:textId="77777777" w:rsidR="00EF6693" w:rsidRDefault="00EF6693">
          <w:pPr>
            <w:pStyle w:val="Header"/>
            <w:ind w:left="-115"/>
          </w:pPr>
        </w:p>
      </w:tc>
      <w:tc>
        <w:tcPr>
          <w:tcW w:w="3120" w:type="dxa"/>
        </w:tcPr>
        <w:p w14:paraId="76BB753C" w14:textId="77777777" w:rsidR="00EF6693" w:rsidRDefault="00EF6693">
          <w:pPr>
            <w:pStyle w:val="Header"/>
            <w:jc w:val="center"/>
          </w:pPr>
        </w:p>
        <w:p w14:paraId="3D63B67C" w14:textId="77777777" w:rsidR="00EF6693" w:rsidRDefault="00000000">
          <w:pPr>
            <w:pStyle w:val="Header"/>
            <w:jc w:val="center"/>
          </w:pPr>
          <w:r>
            <w:fldChar w:fldCharType="begin"/>
          </w:r>
          <w:r>
            <w:instrText xml:space="preserve"> PAGE </w:instrText>
          </w:r>
          <w:r>
            <w:fldChar w:fldCharType="separate"/>
          </w:r>
          <w:r>
            <w:t>28</w:t>
          </w:r>
          <w:r>
            <w:fldChar w:fldCharType="end"/>
          </w:r>
        </w:p>
      </w:tc>
      <w:tc>
        <w:tcPr>
          <w:tcW w:w="3120" w:type="dxa"/>
        </w:tcPr>
        <w:p w14:paraId="513DA1E0" w14:textId="77777777" w:rsidR="00EF6693" w:rsidRDefault="00EF6693">
          <w:pPr>
            <w:pStyle w:val="Header"/>
            <w:tabs>
              <w:tab w:val="left" w:pos="2237"/>
            </w:tabs>
            <w:ind w:right="-115"/>
          </w:pPr>
        </w:p>
      </w:tc>
    </w:tr>
  </w:tbl>
  <w:p w14:paraId="75CAC6F5" w14:textId="77777777" w:rsidR="00EF6693" w:rsidRDefault="00EF669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EF6693" w14:paraId="2A734D6F" w14:textId="77777777">
      <w:trPr>
        <w:trHeight w:val="300"/>
      </w:trPr>
      <w:tc>
        <w:tcPr>
          <w:tcW w:w="3120" w:type="dxa"/>
        </w:tcPr>
        <w:p w14:paraId="66060428" w14:textId="77777777" w:rsidR="00EF6693" w:rsidRDefault="00EF6693">
          <w:pPr>
            <w:pStyle w:val="Header"/>
            <w:ind w:left="-115"/>
          </w:pPr>
        </w:p>
      </w:tc>
      <w:tc>
        <w:tcPr>
          <w:tcW w:w="3120" w:type="dxa"/>
        </w:tcPr>
        <w:p w14:paraId="1D0656FE" w14:textId="77777777" w:rsidR="00EF6693" w:rsidRDefault="00EF6693">
          <w:pPr>
            <w:pStyle w:val="Header"/>
            <w:jc w:val="center"/>
          </w:pPr>
        </w:p>
        <w:p w14:paraId="20B2914E" w14:textId="77777777" w:rsidR="00EF6693" w:rsidRDefault="00000000">
          <w:pPr>
            <w:pStyle w:val="Header"/>
            <w:jc w:val="center"/>
          </w:pPr>
          <w:r>
            <w:fldChar w:fldCharType="begin"/>
          </w:r>
          <w:r>
            <w:instrText xml:space="preserve"> PAGE </w:instrText>
          </w:r>
          <w:r>
            <w:fldChar w:fldCharType="separate"/>
          </w:r>
          <w:r>
            <w:t>28</w:t>
          </w:r>
          <w:r>
            <w:fldChar w:fldCharType="end"/>
          </w:r>
        </w:p>
      </w:tc>
      <w:tc>
        <w:tcPr>
          <w:tcW w:w="3120" w:type="dxa"/>
        </w:tcPr>
        <w:p w14:paraId="7B37605A" w14:textId="77777777" w:rsidR="00EF6693" w:rsidRDefault="00EF6693">
          <w:pPr>
            <w:pStyle w:val="Header"/>
            <w:tabs>
              <w:tab w:val="left" w:pos="2237"/>
            </w:tabs>
            <w:ind w:right="-115"/>
          </w:pPr>
        </w:p>
      </w:tc>
    </w:tr>
  </w:tbl>
  <w:p w14:paraId="394798F2" w14:textId="77777777" w:rsidR="00EF6693" w:rsidRDefault="00EF66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7F82E" w14:textId="77777777" w:rsidR="006B67D8" w:rsidRDefault="006B67D8">
      <w:pPr>
        <w:spacing w:after="0" w:line="240" w:lineRule="auto"/>
      </w:pPr>
      <w:r>
        <w:separator/>
      </w:r>
    </w:p>
  </w:footnote>
  <w:footnote w:type="continuationSeparator" w:id="0">
    <w:p w14:paraId="7BB9C587" w14:textId="77777777" w:rsidR="006B67D8" w:rsidRDefault="006B6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C42D" w14:textId="77777777" w:rsidR="00EF6693" w:rsidRDefault="00EF66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EF6693" w14:paraId="271CA723" w14:textId="77777777">
      <w:trPr>
        <w:trHeight w:val="300"/>
      </w:trPr>
      <w:tc>
        <w:tcPr>
          <w:tcW w:w="3120" w:type="dxa"/>
        </w:tcPr>
        <w:p w14:paraId="75FBE423" w14:textId="77777777" w:rsidR="00EF6693" w:rsidRDefault="00EF6693">
          <w:pPr>
            <w:pStyle w:val="Header"/>
          </w:pPr>
        </w:p>
      </w:tc>
      <w:tc>
        <w:tcPr>
          <w:tcW w:w="3120" w:type="dxa"/>
        </w:tcPr>
        <w:p w14:paraId="2D3F0BEC" w14:textId="77777777" w:rsidR="00EF6693" w:rsidRDefault="00EF6693">
          <w:pPr>
            <w:pStyle w:val="Header"/>
            <w:jc w:val="center"/>
          </w:pPr>
        </w:p>
      </w:tc>
      <w:tc>
        <w:tcPr>
          <w:tcW w:w="3120" w:type="dxa"/>
        </w:tcPr>
        <w:p w14:paraId="75CF4315" w14:textId="77777777" w:rsidR="00EF6693" w:rsidRDefault="00EF6693">
          <w:pPr>
            <w:pStyle w:val="Header"/>
            <w:ind w:right="-115"/>
            <w:jc w:val="right"/>
          </w:pPr>
        </w:p>
      </w:tc>
    </w:tr>
  </w:tbl>
  <w:p w14:paraId="3CB648E9" w14:textId="77777777" w:rsidR="00EF6693" w:rsidRDefault="00EF66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EF6693" w14:paraId="0C178E9E" w14:textId="77777777">
      <w:trPr>
        <w:trHeight w:val="300"/>
      </w:trPr>
      <w:tc>
        <w:tcPr>
          <w:tcW w:w="3120" w:type="dxa"/>
        </w:tcPr>
        <w:p w14:paraId="3C0395D3" w14:textId="77777777" w:rsidR="00EF6693" w:rsidRDefault="00EF6693">
          <w:pPr>
            <w:pStyle w:val="Header"/>
          </w:pPr>
        </w:p>
      </w:tc>
      <w:tc>
        <w:tcPr>
          <w:tcW w:w="3120" w:type="dxa"/>
        </w:tcPr>
        <w:p w14:paraId="3254BC2F" w14:textId="77777777" w:rsidR="00EF6693" w:rsidRDefault="00EF6693">
          <w:pPr>
            <w:pStyle w:val="Header"/>
            <w:jc w:val="center"/>
          </w:pPr>
        </w:p>
      </w:tc>
      <w:tc>
        <w:tcPr>
          <w:tcW w:w="3120" w:type="dxa"/>
        </w:tcPr>
        <w:p w14:paraId="651E9592" w14:textId="77777777" w:rsidR="00EF6693" w:rsidRDefault="00EF6693">
          <w:pPr>
            <w:pStyle w:val="Header"/>
            <w:ind w:right="-115"/>
            <w:jc w:val="right"/>
          </w:pPr>
        </w:p>
      </w:tc>
    </w:tr>
  </w:tbl>
  <w:p w14:paraId="269E314A" w14:textId="77777777" w:rsidR="00EF6693" w:rsidRDefault="00EF669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A70C" w14:textId="77777777" w:rsidR="00EF6693" w:rsidRDefault="00EF669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EF6693" w14:paraId="71887C79" w14:textId="77777777">
      <w:trPr>
        <w:trHeight w:val="300"/>
      </w:trPr>
      <w:tc>
        <w:tcPr>
          <w:tcW w:w="3120" w:type="dxa"/>
        </w:tcPr>
        <w:p w14:paraId="3B7FD67C" w14:textId="77777777" w:rsidR="00EF6693" w:rsidRDefault="00EF6693">
          <w:pPr>
            <w:pStyle w:val="Header"/>
          </w:pPr>
        </w:p>
      </w:tc>
      <w:tc>
        <w:tcPr>
          <w:tcW w:w="3120" w:type="dxa"/>
        </w:tcPr>
        <w:p w14:paraId="38D6B9B6" w14:textId="77777777" w:rsidR="00EF6693" w:rsidRDefault="00EF6693">
          <w:pPr>
            <w:pStyle w:val="Header"/>
            <w:jc w:val="center"/>
          </w:pPr>
        </w:p>
      </w:tc>
      <w:tc>
        <w:tcPr>
          <w:tcW w:w="3120" w:type="dxa"/>
        </w:tcPr>
        <w:p w14:paraId="22F860BB" w14:textId="77777777" w:rsidR="00EF6693" w:rsidRDefault="00EF6693">
          <w:pPr>
            <w:pStyle w:val="Header"/>
            <w:ind w:right="-115"/>
            <w:jc w:val="right"/>
          </w:pPr>
        </w:p>
      </w:tc>
    </w:tr>
  </w:tbl>
  <w:p w14:paraId="698536F5" w14:textId="77777777" w:rsidR="00EF6693" w:rsidRDefault="00EF669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EF6693" w14:paraId="7BC1BAF2" w14:textId="77777777">
      <w:trPr>
        <w:trHeight w:val="300"/>
      </w:trPr>
      <w:tc>
        <w:tcPr>
          <w:tcW w:w="3120" w:type="dxa"/>
        </w:tcPr>
        <w:p w14:paraId="61C988F9" w14:textId="77777777" w:rsidR="00EF6693" w:rsidRDefault="00EF6693">
          <w:pPr>
            <w:pStyle w:val="Header"/>
          </w:pPr>
        </w:p>
      </w:tc>
      <w:tc>
        <w:tcPr>
          <w:tcW w:w="3120" w:type="dxa"/>
        </w:tcPr>
        <w:p w14:paraId="3B22BB7D" w14:textId="77777777" w:rsidR="00EF6693" w:rsidRDefault="00EF6693">
          <w:pPr>
            <w:pStyle w:val="Header"/>
            <w:jc w:val="center"/>
          </w:pPr>
        </w:p>
      </w:tc>
      <w:tc>
        <w:tcPr>
          <w:tcW w:w="3120" w:type="dxa"/>
        </w:tcPr>
        <w:p w14:paraId="17B246DD" w14:textId="77777777" w:rsidR="00EF6693" w:rsidRDefault="00EF6693">
          <w:pPr>
            <w:pStyle w:val="Header"/>
            <w:ind w:right="-115"/>
            <w:jc w:val="right"/>
          </w:pPr>
        </w:p>
      </w:tc>
    </w:tr>
  </w:tbl>
  <w:p w14:paraId="6BF89DA3" w14:textId="77777777" w:rsidR="00EF6693" w:rsidRDefault="00EF66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A1327"/>
    <w:multiLevelType w:val="multilevel"/>
    <w:tmpl w:val="B7061A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DDF0AA4"/>
    <w:multiLevelType w:val="multilevel"/>
    <w:tmpl w:val="E9B6A8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8AB4785"/>
    <w:multiLevelType w:val="multilevel"/>
    <w:tmpl w:val="016A79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86A7632"/>
    <w:multiLevelType w:val="multilevel"/>
    <w:tmpl w:val="99BC3D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03343D6"/>
    <w:multiLevelType w:val="multilevel"/>
    <w:tmpl w:val="6CE4C0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83CDC6A"/>
    <w:multiLevelType w:val="multilevel"/>
    <w:tmpl w:val="CD9203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3287009">
    <w:abstractNumId w:val="2"/>
  </w:num>
  <w:num w:numId="2" w16cid:durableId="532808274">
    <w:abstractNumId w:val="0"/>
  </w:num>
  <w:num w:numId="3" w16cid:durableId="269241185">
    <w:abstractNumId w:val="3"/>
  </w:num>
  <w:num w:numId="4" w16cid:durableId="1856965454">
    <w:abstractNumId w:val="1"/>
  </w:num>
  <w:num w:numId="5" w16cid:durableId="404422764">
    <w:abstractNumId w:val="5"/>
  </w:num>
  <w:num w:numId="6" w16cid:durableId="3062033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266E7B"/>
    <w:rsid w:val="0001052C"/>
    <w:rsid w:val="0001540D"/>
    <w:rsid w:val="00040A15"/>
    <w:rsid w:val="0004268C"/>
    <w:rsid w:val="00052AF2"/>
    <w:rsid w:val="00074729"/>
    <w:rsid w:val="0009401D"/>
    <w:rsid w:val="000C77C9"/>
    <w:rsid w:val="000F0542"/>
    <w:rsid w:val="000F338D"/>
    <w:rsid w:val="00106621"/>
    <w:rsid w:val="00113763"/>
    <w:rsid w:val="001239F1"/>
    <w:rsid w:val="0014073F"/>
    <w:rsid w:val="001922F2"/>
    <w:rsid w:val="00196FEC"/>
    <w:rsid w:val="001A312C"/>
    <w:rsid w:val="001D585C"/>
    <w:rsid w:val="00203C12"/>
    <w:rsid w:val="002060EF"/>
    <w:rsid w:val="00244E11"/>
    <w:rsid w:val="002A57F4"/>
    <w:rsid w:val="002D0A82"/>
    <w:rsid w:val="00353E86"/>
    <w:rsid w:val="003727D6"/>
    <w:rsid w:val="00380CA1"/>
    <w:rsid w:val="00386E74"/>
    <w:rsid w:val="003919E2"/>
    <w:rsid w:val="003C3A27"/>
    <w:rsid w:val="003C73DA"/>
    <w:rsid w:val="003E7066"/>
    <w:rsid w:val="00404619"/>
    <w:rsid w:val="00421659"/>
    <w:rsid w:val="00425801"/>
    <w:rsid w:val="004272EF"/>
    <w:rsid w:val="00433794"/>
    <w:rsid w:val="00443AE1"/>
    <w:rsid w:val="00443FE2"/>
    <w:rsid w:val="0045261C"/>
    <w:rsid w:val="00463F94"/>
    <w:rsid w:val="004754ED"/>
    <w:rsid w:val="00487C12"/>
    <w:rsid w:val="00495DD2"/>
    <w:rsid w:val="004A057A"/>
    <w:rsid w:val="004A0DC6"/>
    <w:rsid w:val="004C63F1"/>
    <w:rsid w:val="004D131B"/>
    <w:rsid w:val="004F2317"/>
    <w:rsid w:val="005042E8"/>
    <w:rsid w:val="005259EA"/>
    <w:rsid w:val="005902F7"/>
    <w:rsid w:val="005B4111"/>
    <w:rsid w:val="005C7210"/>
    <w:rsid w:val="005D2BFE"/>
    <w:rsid w:val="005F38F1"/>
    <w:rsid w:val="00615807"/>
    <w:rsid w:val="0064045A"/>
    <w:rsid w:val="00651E83"/>
    <w:rsid w:val="00662DF6"/>
    <w:rsid w:val="006707F6"/>
    <w:rsid w:val="00684273"/>
    <w:rsid w:val="006B67D8"/>
    <w:rsid w:val="006E42A8"/>
    <w:rsid w:val="00724917"/>
    <w:rsid w:val="00750F82"/>
    <w:rsid w:val="00754A05"/>
    <w:rsid w:val="00756991"/>
    <w:rsid w:val="00761000"/>
    <w:rsid w:val="00762E2B"/>
    <w:rsid w:val="00793154"/>
    <w:rsid w:val="00794CA0"/>
    <w:rsid w:val="007A1AF0"/>
    <w:rsid w:val="007B0FDE"/>
    <w:rsid w:val="007B2CF9"/>
    <w:rsid w:val="007B5AD6"/>
    <w:rsid w:val="007F304E"/>
    <w:rsid w:val="0080245B"/>
    <w:rsid w:val="00843478"/>
    <w:rsid w:val="00873293"/>
    <w:rsid w:val="0089650D"/>
    <w:rsid w:val="00896C46"/>
    <w:rsid w:val="008C04B9"/>
    <w:rsid w:val="008E270B"/>
    <w:rsid w:val="008F1DC8"/>
    <w:rsid w:val="008F5A8E"/>
    <w:rsid w:val="00922A84"/>
    <w:rsid w:val="00936B65"/>
    <w:rsid w:val="00944374"/>
    <w:rsid w:val="00953635"/>
    <w:rsid w:val="009563E5"/>
    <w:rsid w:val="00963615"/>
    <w:rsid w:val="009852CF"/>
    <w:rsid w:val="009A0A6C"/>
    <w:rsid w:val="009C15B4"/>
    <w:rsid w:val="009D088A"/>
    <w:rsid w:val="009D6979"/>
    <w:rsid w:val="009E0544"/>
    <w:rsid w:val="009E20B2"/>
    <w:rsid w:val="009F193F"/>
    <w:rsid w:val="00A32BC6"/>
    <w:rsid w:val="00AA57FF"/>
    <w:rsid w:val="00AB294C"/>
    <w:rsid w:val="00AF41AB"/>
    <w:rsid w:val="00B15D2E"/>
    <w:rsid w:val="00B23E82"/>
    <w:rsid w:val="00B46B8D"/>
    <w:rsid w:val="00B61BF1"/>
    <w:rsid w:val="00B64BC4"/>
    <w:rsid w:val="00B6578F"/>
    <w:rsid w:val="00B77674"/>
    <w:rsid w:val="00B81B21"/>
    <w:rsid w:val="00B828E1"/>
    <w:rsid w:val="00B840D6"/>
    <w:rsid w:val="00B934C5"/>
    <w:rsid w:val="00B93D30"/>
    <w:rsid w:val="00BA14B7"/>
    <w:rsid w:val="00BC12D7"/>
    <w:rsid w:val="00BC63E6"/>
    <w:rsid w:val="00BF7652"/>
    <w:rsid w:val="00C7545C"/>
    <w:rsid w:val="00C81696"/>
    <w:rsid w:val="00C94ABD"/>
    <w:rsid w:val="00CA6FE1"/>
    <w:rsid w:val="00CB2E18"/>
    <w:rsid w:val="00CB6065"/>
    <w:rsid w:val="00CB6AC0"/>
    <w:rsid w:val="00CB7BFD"/>
    <w:rsid w:val="00CC259D"/>
    <w:rsid w:val="00CD3488"/>
    <w:rsid w:val="00CF5CDE"/>
    <w:rsid w:val="00D277DB"/>
    <w:rsid w:val="00D43C93"/>
    <w:rsid w:val="00D85533"/>
    <w:rsid w:val="00DB0DA5"/>
    <w:rsid w:val="00DD63D7"/>
    <w:rsid w:val="00DE08D0"/>
    <w:rsid w:val="00E11B49"/>
    <w:rsid w:val="00E206D5"/>
    <w:rsid w:val="00E30832"/>
    <w:rsid w:val="00E376AD"/>
    <w:rsid w:val="00E40DB3"/>
    <w:rsid w:val="00EB558D"/>
    <w:rsid w:val="00ED0AE5"/>
    <w:rsid w:val="00EF6693"/>
    <w:rsid w:val="00F059AE"/>
    <w:rsid w:val="00F2330F"/>
    <w:rsid w:val="00F50F98"/>
    <w:rsid w:val="00F553D3"/>
    <w:rsid w:val="00F7612D"/>
    <w:rsid w:val="00FA35A4"/>
    <w:rsid w:val="00FA546B"/>
    <w:rsid w:val="00FA7583"/>
    <w:rsid w:val="00FB34E8"/>
    <w:rsid w:val="00FC4C28"/>
    <w:rsid w:val="00FE701D"/>
    <w:rsid w:val="00FE72E1"/>
    <w:rsid w:val="02266E7B"/>
    <w:rsid w:val="0ADF6B4E"/>
    <w:rsid w:val="0D824A2D"/>
    <w:rsid w:val="0E5315C1"/>
    <w:rsid w:val="0E7297BE"/>
    <w:rsid w:val="1348234E"/>
    <w:rsid w:val="13AC9714"/>
    <w:rsid w:val="1DBF4C67"/>
    <w:rsid w:val="1E2AE191"/>
    <w:rsid w:val="223EAE97"/>
    <w:rsid w:val="23EA847B"/>
    <w:rsid w:val="25214910"/>
    <w:rsid w:val="2A199860"/>
    <w:rsid w:val="2DEEDFA6"/>
    <w:rsid w:val="3364C5DE"/>
    <w:rsid w:val="34506BEF"/>
    <w:rsid w:val="3803A918"/>
    <w:rsid w:val="3AD95236"/>
    <w:rsid w:val="3DDDE9E7"/>
    <w:rsid w:val="3E6ED91E"/>
    <w:rsid w:val="3FBFFF5C"/>
    <w:rsid w:val="41EF7033"/>
    <w:rsid w:val="47FDDCC7"/>
    <w:rsid w:val="49035F02"/>
    <w:rsid w:val="4D9A4C3E"/>
    <w:rsid w:val="5100D1F3"/>
    <w:rsid w:val="51EF7B0B"/>
    <w:rsid w:val="51FD941F"/>
    <w:rsid w:val="53E58954"/>
    <w:rsid w:val="551F051D"/>
    <w:rsid w:val="60552FCA"/>
    <w:rsid w:val="6078F35A"/>
    <w:rsid w:val="61D1046F"/>
    <w:rsid w:val="6B285B4D"/>
    <w:rsid w:val="6B2E1A70"/>
    <w:rsid w:val="6DBFF151"/>
    <w:rsid w:val="78F2277B"/>
    <w:rsid w:val="7A09D910"/>
    <w:rsid w:val="7B282331"/>
    <w:rsid w:val="7FA609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886AE"/>
  <w15:docId w15:val="{7D1EB171-07B2-48E6-919E-486646508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9604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04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604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E081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CommentReference">
    <w:name w:val="annotation reference"/>
    <w:basedOn w:val="DefaultParagraphFont"/>
    <w:uiPriority w:val="99"/>
    <w:semiHidden/>
    <w:unhideWhenUsed/>
    <w:qFormat/>
    <w:rsid w:val="00387FDA"/>
    <w:rPr>
      <w:sz w:val="16"/>
      <w:szCs w:val="16"/>
    </w:rPr>
  </w:style>
  <w:style w:type="character" w:customStyle="1" w:styleId="CommentTextChar">
    <w:name w:val="Comment Text Char"/>
    <w:basedOn w:val="DefaultParagraphFont"/>
    <w:link w:val="CommentText"/>
    <w:uiPriority w:val="99"/>
    <w:qFormat/>
    <w:rsid w:val="00387FDA"/>
    <w:rPr>
      <w:sz w:val="20"/>
      <w:szCs w:val="20"/>
    </w:rPr>
  </w:style>
  <w:style w:type="character" w:customStyle="1" w:styleId="CommentSubjectChar">
    <w:name w:val="Comment Subject Char"/>
    <w:basedOn w:val="CommentTextChar"/>
    <w:link w:val="CommentSubject"/>
    <w:uiPriority w:val="99"/>
    <w:semiHidden/>
    <w:qFormat/>
    <w:rsid w:val="00387FDA"/>
    <w:rPr>
      <w:b/>
      <w:bCs/>
      <w:sz w:val="20"/>
      <w:szCs w:val="20"/>
    </w:rPr>
  </w:style>
  <w:style w:type="character" w:customStyle="1" w:styleId="Heading1Char">
    <w:name w:val="Heading 1 Char"/>
    <w:basedOn w:val="DefaultParagraphFont"/>
    <w:link w:val="Heading1"/>
    <w:uiPriority w:val="9"/>
    <w:qFormat/>
    <w:rsid w:val="009604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604E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9604EF"/>
    <w:rPr>
      <w:rFonts w:asciiTheme="majorHAnsi" w:eastAsiaTheme="majorEastAsia" w:hAnsiTheme="majorHAnsi" w:cstheme="majorBidi"/>
      <w:color w:val="1F3763" w:themeColor="accent1" w:themeShade="7F"/>
      <w:sz w:val="24"/>
      <w:szCs w:val="24"/>
    </w:rPr>
  </w:style>
  <w:style w:type="character" w:styleId="LineNumber">
    <w:name w:val="line number"/>
    <w:basedOn w:val="DefaultParagraphFont"/>
    <w:uiPriority w:val="99"/>
    <w:semiHidden/>
    <w:unhideWhenUsed/>
    <w:rsid w:val="00AE1B4E"/>
  </w:style>
  <w:style w:type="character" w:styleId="PlaceholderText">
    <w:name w:val="Placeholder Text"/>
    <w:basedOn w:val="DefaultParagraphFont"/>
    <w:uiPriority w:val="99"/>
    <w:semiHidden/>
    <w:qFormat/>
    <w:rsid w:val="00676215"/>
    <w:rPr>
      <w:color w:val="666666"/>
    </w:rPr>
  </w:style>
  <w:style w:type="character" w:customStyle="1" w:styleId="Heading4Char">
    <w:name w:val="Heading 4 Char"/>
    <w:basedOn w:val="DefaultParagraphFont"/>
    <w:link w:val="Heading4"/>
    <w:uiPriority w:val="9"/>
    <w:qFormat/>
    <w:rsid w:val="008E0811"/>
    <w:rPr>
      <w:rFonts w:asciiTheme="majorHAnsi" w:eastAsiaTheme="majorEastAsia" w:hAnsiTheme="majorHAnsi" w:cstheme="majorBidi"/>
      <w:i/>
      <w:iCs/>
      <w:color w:val="2F5496" w:themeColor="accent1" w:themeShade="BF"/>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375D6B"/>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pPr>
      <w:suppressLineNumbers/>
      <w:tabs>
        <w:tab w:val="center" w:pos="4680"/>
        <w:tab w:val="right" w:pos="9360"/>
      </w:tabs>
      <w:spacing w:after="0" w:line="240" w:lineRule="auto"/>
    </w:pPr>
  </w:style>
  <w:style w:type="paragraph" w:styleId="Footer">
    <w:name w:val="footer"/>
    <w:basedOn w:val="Normal"/>
    <w:link w:val="FooterChar"/>
    <w:uiPriority w:val="99"/>
    <w:unhideWhenUsed/>
    <w:pPr>
      <w:suppressLineNumbers/>
      <w:tabs>
        <w:tab w:val="center" w:pos="4680"/>
        <w:tab w:val="right" w:pos="9360"/>
      </w:tabs>
      <w:spacing w:after="0" w:line="240" w:lineRule="auto"/>
    </w:pPr>
  </w:style>
  <w:style w:type="paragraph" w:styleId="CommentText">
    <w:name w:val="annotation text"/>
    <w:basedOn w:val="Normal"/>
    <w:link w:val="CommentTextChar"/>
    <w:uiPriority w:val="99"/>
    <w:unhideWhenUsed/>
    <w:rsid w:val="00387FDA"/>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387FDA"/>
    <w:rPr>
      <w:b/>
      <w:bCs/>
    </w:rPr>
  </w:style>
  <w:style w:type="paragraph" w:customStyle="1" w:styleId="HeaderLeftuser">
    <w:name w:val="Header Left (user)"/>
    <w:basedOn w:val="Header"/>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707F6"/>
    <w:rPr>
      <w:color w:val="0563C1" w:themeColor="hyperlink"/>
      <w:u w:val="single"/>
    </w:rPr>
  </w:style>
  <w:style w:type="character" w:styleId="UnresolvedMention">
    <w:name w:val="Unresolved Mention"/>
    <w:basedOn w:val="DefaultParagraphFont"/>
    <w:uiPriority w:val="99"/>
    <w:semiHidden/>
    <w:unhideWhenUsed/>
    <w:rsid w:val="0067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2759">
      <w:bodyDiv w:val="1"/>
      <w:marLeft w:val="0"/>
      <w:marRight w:val="0"/>
      <w:marTop w:val="0"/>
      <w:marBottom w:val="0"/>
      <w:divBdr>
        <w:top w:val="none" w:sz="0" w:space="0" w:color="auto"/>
        <w:left w:val="none" w:sz="0" w:space="0" w:color="auto"/>
        <w:bottom w:val="none" w:sz="0" w:space="0" w:color="auto"/>
        <w:right w:val="none" w:sz="0" w:space="0" w:color="auto"/>
      </w:divBdr>
    </w:div>
    <w:div w:id="651183025">
      <w:bodyDiv w:val="1"/>
      <w:marLeft w:val="0"/>
      <w:marRight w:val="0"/>
      <w:marTop w:val="0"/>
      <w:marBottom w:val="0"/>
      <w:divBdr>
        <w:top w:val="none" w:sz="0" w:space="0" w:color="auto"/>
        <w:left w:val="none" w:sz="0" w:space="0" w:color="auto"/>
        <w:bottom w:val="none" w:sz="0" w:space="0" w:color="auto"/>
        <w:right w:val="none" w:sz="0" w:space="0" w:color="auto"/>
      </w:divBdr>
    </w:div>
    <w:div w:id="1823544048">
      <w:bodyDiv w:val="1"/>
      <w:marLeft w:val="0"/>
      <w:marRight w:val="0"/>
      <w:marTop w:val="0"/>
      <w:marBottom w:val="0"/>
      <w:divBdr>
        <w:top w:val="none" w:sz="0" w:space="0" w:color="auto"/>
        <w:left w:val="none" w:sz="0" w:space="0" w:color="auto"/>
        <w:bottom w:val="none" w:sz="0" w:space="0" w:color="auto"/>
        <w:right w:val="none" w:sz="0" w:space="0" w:color="auto"/>
      </w:divBdr>
    </w:div>
    <w:div w:id="20097439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0439865"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https://github.com/BoMeyering/FirmlyRooted_data_analysis.git" TargetMode="Externa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AA757-ED80-4323-96D1-B2DA69E6E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4294967219</TotalTime>
  <Pages>24</Pages>
  <Words>9285</Words>
  <Characters>52926</Characters>
  <Application>Microsoft Office Word</Application>
  <DocSecurity>0</DocSecurity>
  <Lines>441</Lines>
  <Paragraphs>124</Paragraphs>
  <ScaleCrop>false</ScaleCrop>
  <Company/>
  <LinksUpToDate>false</LinksUpToDate>
  <CharactersWithSpaces>62087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Meyering, Bryce</dc:creator>
  <dc:description/>
  <cp:lastModifiedBy>Meyering, Bryce</cp:lastModifiedBy>
  <cp:revision>1673</cp:revision>
  <dcterms:created xsi:type="dcterms:W3CDTF">2023-12-28T17:27:00Z</dcterms:created>
  <dcterms:modified xsi:type="dcterms:W3CDTF">2025-05-09T03:37:00Z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id="WFVQiRAY"/&gt;&lt;style id="http://www.zotero.org/styles/american-chemical-society" hasBibliography="1" bibliographyStyleHasBeenSet="0"/&gt;&lt;prefs&gt;&lt;pref name="fieldType" value="Field"/&gt;&lt;pref name="automat</vt:lpwstr>
  </property>
  <property fmtid="{D5CDD505-2E9C-101B-9397-08002B2CF9AE}" pid="3" name="ZOTERO_PREF_2">
    <vt:lpwstr>icJournalAbbreviations" value="true"/&gt;&lt;/prefs&gt;&lt;/data&gt;</vt:lpwstr>
  </property>
</Properties>
</file>