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hd w:val="clear" w:color="auto" w:fill="FFFFFF"/>
        <w:spacing w:before="50" w:beforeAutospacing="0" w:after="220" w:afterAutospacing="0"/>
        <w:jc w:val="center"/>
        <w:textAlignment w:val="baseline"/>
        <w:rPr>
          <w:rFonts w:ascii="微软雅黑" w:hAnsi="微软雅黑" w:eastAsia="微软雅黑" w:cs="微软雅黑"/>
          <w:color w:val="auto"/>
          <w:sz w:val="21"/>
          <w:szCs w:val="21"/>
          <w:highlight w:val="none"/>
        </w:rPr>
      </w:pPr>
      <w:bookmarkStart w:id="0" w:name="_GoBack"/>
      <w:r>
        <w:rPr>
          <w:rStyle w:val="5"/>
          <w:rFonts w:hint="eastAsia" w:ascii="微软雅黑" w:hAnsi="微软雅黑" w:eastAsia="微软雅黑" w:cs="微软雅黑"/>
          <w:bCs/>
          <w:color w:val="auto"/>
          <w:sz w:val="21"/>
          <w:szCs w:val="21"/>
          <w:highlight w:val="none"/>
          <w:shd w:val="clear" w:color="auto" w:fill="FFFFFF"/>
        </w:rPr>
        <w:t>中华人民共和国预算法实施条例</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（1995年11月22日中华人民共和国国务院令第186号发布</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2020年8月3日中华人民共和国国务院令第729号修订）</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第一章　总　　则</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第一条　根据《中华人民共和国预算法》（以下简称预算法），制定本条例。</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第二条　县级以上地方政府的派出机关根据本级政府授权进行预算管理活动，不作为一级预算，其收支纳入本级预算。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第三条　社会保险基金预算应当在精算平衡的基础上实现可持续运行，一般公共预算可以根据需要和财力适当安排资金补充社会保险基金预算。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第四条　预算法第六条第二款所称各部门，是指与本级政府财政部门直接发生预算缴拨款关系的国家机关、军队、政党组织、事业单位、社会团体和其他单位。</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第五条　各部门预算应当反映一般公共预算、政府性基金预算、国有资本经营预算安排给本部门及其所属各单位的所有预算资金。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各部门预算收入包括本级财政安排给本部门及其所属各单位的预算拨款收入和其他收入。各部门预算支出为与部门预算收入相对应的支出，包括基本支出和项目支出。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本条第二款所称基本支出，是指各部门、各单位为保障其机构正常运转、完成日常工作任务所发生的支出，包括人员经费和公用经费；所称项目支出，是指各部门、各单位为完成其特定的工作任务和事业发展目标所发生的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各部门及其所属各单位的本级预算拨款收入和其相对应的支出，应当在部门预算中单独反映。</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部门预算编制、执行的具体办法，由本级政府财政部门依法作出规定。</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第六条　一般性转移支付向社会公开应当细化到地区。专项转移支付向社会公开应当细化到地区和项目。</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政府债务、机关运行经费、政府采购、财政专户资金等情况，按照有关规定向社会公开。</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部门预算、决算应当公开基本支出和项目支出。部门预算、决算支出按其功能分类应当公开到项；按其经济性质分类，基本支出应当公开到款。</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所属单位的预算、决算及报表，应当在部门批复后20日内由单位向社会公开。单位预算、决算应当公开基本支出和项目支出。单位预算、决算支出按其功能分类应当公开到项；按其经济性质分类，基本支出应当公开到款。</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第七条　预算法第十五条所称中央和地方分税制，是指在划分中央与地方事权的基础上，确定中央与地方财政支出范围，并按税种划分中央与地方预算收入的财政管理体制。</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分税制财政管理体制的具体内容和实施办法，按照国务院的有关规定执行。</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第八条　县级以上地方各级政府应当根据中央和地方分税制的原则和上级政府的有关规定，确定本级政府对下级政府的财政管理体制。</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第九条　预算法第十六条第二款所称一般性转移支付，包括：</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（一）均衡性转移支付；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（二）对革命老区、民族地区、边疆地区、贫困地区的财力补助；</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（三）其他一般性转移支付。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第十条　预算法第十六条第三款所称专项转移支付，是指上级政府为了实现特定的经济和社会发展目标给予下级政府，并由下级政府按照上级政府规定的用途安排使用的预算资金。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县级以上各级政府财政部门应当会同有关部门建立健全专项转移支付定期评估和退出机制。对评估后的专项转移支付，按照下列情形分别予以处理：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（一）符合法律、行政法规和国务院规定，有必要继续执行的，可以继续执行；</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（二）设立的有关要求变更，或者实际绩效与目标差距较大、管理不够完善的，应当予以调整；</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（三）设立依据失效或者废止的，应当予以取消。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第十一条　预算收入和预算支出以人民币元为计算单位。预算收支以人民币以外的货币收纳和支付的，应当折合成人民币计算。</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第二章　预算收支范围</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第十二条　预算法第二十七条第一款所称行政事业性收费收入，是指国家机关、事业单位等依照法律法规规定，按照国务院规定的程序批准，在实施社会公共管理以及在向公民、法人和其他组织提供特定公共服务过程中，按照规定标准向特定对象收取费用形成的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预算法第二十七条第一款所称国有资源（资产）有偿使用收入，是指矿藏、水流、海域、无居民海岛以及法律规定属于国家所有的森林、草原等国有资源有偿使用收入，按照规定纳入一般公共预算管理的国有资产收入等。</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预算法第二十七条第一款所称转移性收入，是指上级税收返还和转移支付、下级上解收入、调入资金以及按照财政部规定列入转移性收入的无隶属关系政府的无偿援助。</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第十三条　转移性支出包括上解上级支出、对下级的税收返还和转移支付、调出资金以及按照财政部规定列入转移性支出的给予无隶属关系政府的无偿援助。</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第十四条　政府性基金预算收入包括政府性基金各项目收入和转移性收入。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政府性基金预算支出包括与政府性基金预算收入相对应的各项目支出和转移性支出。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第十五条　国有资本经营预算收入包括依照法律、行政法规和国务院规定应当纳入国有资本经营预算的国有独资企业和国有独资公司按照规定上缴国家的利润收入、从国有资本控股和参股公司获得的股息红利收入、国有产权转让收入、清算收入和其他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国有资本经营预算支出包括资本性支出、费用性支出、向一般公共预算调出资金等转移性支出和其他支出。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第十六条　社会保险基金预算收入包括各项社会保险费收入、利息收入、投资收益、一般公共预算补助收入、集体补助收入、转移收入、上级补助收入、下级上解收入和其他收入。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社会保险基金预算支出包括各项社会保险待遇支出、转移支出、补助下级支出、上解上级支出和其他支出。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第十七条　地方各级预算上下级之间有关收入和支出项目的划分以及上解、返还或者转移支付的具体办法，由上级地方政府规定，报本级人民代表大会常务委员会备案。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第十八条　地方各级社会保险基金预算上下级之间有关收入和支出项目的划分以及上解、补助的具体办法，按照统筹层次由上级地方政府规定，报本级人民代表大会常务委员会备案。</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第三章　预算编制</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第十九条　预算法第三十一条所称预算草案，是指各级政府、各部门、各单位编制的未经法定程序审查和批准的预算。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第二十条　预算法第三十二条第一款所称绩效评价，是指根据设定的绩效目标，依据规范的程序，对预算资金的投入、使用过程、产出与效果进行系统和客观的评价。</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绩效评价结果应当按照规定作为改进管理和编制以后年度预算的依据。</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第二十一条　预算法第三十二条第三款所称预算支出标准，是指对预算事项合理分类并分别规定的支出预算编制标准，包括基本支出标准和项目支出标准。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地方各级政府财政部门应当根据财政部制定的预算支出标准，结合本地区经济社会发展水平、财力状况等，制定本地区或者本级的预算支出标准。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第二十二条　财政部于每年6月15日前部署编制下一年度预算草案的具体事项，规定报表格式、编报方法、报送期限等。</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第二十三条　中央各部门应当按照国务院的要求和财政部的部署，结合本部门的具体情况，组织编制本部门及其所属各单位的预算草案。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中央各部门负责本部门所属各单位预算草案的审核，并汇总编制本部门的预算草案，按照规定报财政部审核。</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第二十四条　财政部审核中央各部门的预算草案，具体编制中央预算草案；汇总地方预算草案或者地方预算，汇编中央和地方预算草案。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第二十五条　省、自治区、直辖市政府按照国务院的要求和财政部的部署，结合本地区的具体情况，提出本行政区域编制预算草案的要求。</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县级以上地方各级政府财政部门应当于每年6月30日前部署本行政区域编制下一年度预算草案的具体事项，规定有关报表格式、编报方法、报送期限等。</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第二十六条　县级以上地方各级政府各部门应当根据本级政府的要求和本级政府财政部门的部署，结合本部门的具体情况，组织编制本部门及其所属各单位的预算草案，按照规定报本级政府财政部门审核。</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第二十七条　县级以上地方各级政府财政部门审核本级各部门的预算草案，具体编制本级预算草案，汇编本级总预算草案，经本级政府审定后，按照规定期限报上一级政府财政部门。</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省、自治区、直辖市政府财政部门汇总的本级总预算草案或者本级总预算，应当于下一年度1月10日前报财政部。</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第二十八条　县级以上各级政府财政部门审核本级各部门的预算草案时，发现不符合编制预算要求的，应当予以纠正；汇编本级总预算草案时，发现下级预算草案不符合上级政府或者本级政府编制预算要求的，应当及时向本级政府报告，由本级政府予以纠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第二十九条　各级政府财政部门编制收入预算草案时，应当征求税务、海关等预算收入征收部门和单位的意见。</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预算收入征收部门和单位应当按照财政部门的要求提供下一年度预算收入征收预测情况。</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第三十条　财政部门会同社会保险行政部门部署编制下一年度社会保险基金预算草案的具体事项。</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社会保险经办机构具体编制下一年度社会保险基金预算草案，报本级社会保险行政部门审核汇总。社会保险基金收入预算草案由社会保险经办机构会同社会保险费征收机构具体编制。财政部门负责审核并汇总编制社会保险基金预算草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第三十一条　各级政府财政部门应当依照预算法和本条例规定，制定本级预算草案编制规程。</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第三十二条　各部门、各单位在编制预算草案时，应当根据资产配置标准，结合存量资产情况编制相关支出预算。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第三十三条　中央一般公共预算收入编制内容包括本级一般公共预算收入、从国有资本经营预算调入资金、地方上解收入、从预算稳定调节基金调入资金、其他调入资金。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中央一般公共预算支出编制内容包括本级一般公共预算支出、对地方的税收返还和转移支付、补充预算稳定调节基金。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中央政府债务余额的限额应当在本级预算中单独列示。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第三十四条　地方各级一般公共预算收入编制内容包括本级一般公共预算收入、从国有资本经营预算调入资金、上级税收返还和转移支付、下级上解收入、从预算稳定调节基金调入资金、其他调入资金。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地方各级一般公共预算支出编制内容包括本级一般公共预算支出、上解上级支出、对下级的税收返还和转移支付、补充预算稳定调节基金。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第三十五条　中央政府性基金预算收入编制内容包括本级政府性基金各项目收入、上一年度结余、地方上解收入。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中央政府性基金预算支出编制内容包括本级政府性基金各项目支出、对地方的转移支付、调出资金。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第三十六条　地方政府性基金预算收入编制内容包括本级政府性基金各项目收入、上一年度结余、下级上解收入、上级转移支付。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地方政府性基金预算支出编制内容包括本级政府性基金各项目支出、上解上级支出、对下级的转移支付、调出资金。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第三十七条　中央国有资本经营预算收入编制内容包括本级收入、上一年度结余、地方上解收入。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中央国有资本经营预算支出编制内容包括本级支出、向一般公共预算调出资金、对地方特定事项的转移支付。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第三十八条　地方国有资本经营预算收入编制内容包括本级收入、上一年度结余、上级对特定事项的转移支付、下级上解收入。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地方国有资本经营预算支出编制内容包括本级支出、向一般公共预算调出资金、对下级特定事项的转移支付、上解上级支出。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第三十九条　中央和地方社会保险基金预算收入、支出编制内容包括本条例第十六条规定的各项收入和支出。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第四十条　各部门、各单位预算收入编制内容包括本级预算拨款收入、预算拨款结转和其他收入。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各部门、各单位预算支出编制内容包括基本支出和项目支出。</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各部门、各单位的预算支出，按其功能分类应当编列到项，按其经济性质分类应当编列到款。</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第四十一条　各级政府应当加强项目支出管理。各级政府财政部门应当建立和完善项目支出预算评审制度。各部门、各单位应当按照本级政府财政部门的规定开展预算评审。</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项目支出实行项目库管理，并建立健全项目入库评审机制和项目滚动管理机制。</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第四十二条　预算法第三十四条第二款所称余额管理，是指国务院在全国人民代表大会批准的中央一般公共预算债务的余额限额内，决定发债规模、品种、期限和时点的管理方式；所称余额，是指中央一般公共预算中举借债务未偿还的本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第四十三条　地方政府债务余额实行限额管理。各省、自治区、直辖市的政府债务限额，由财政部在全国人民代表大会或者其常务委员会批准的总限额内，根据各地区债务风险、财力状况等因素，并考虑国家宏观调控政策等需要，提出方案报国务院批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各省、自治区、直辖市的政府债务余额不得突破国务院批准的限额。</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第四十四条　预算法第三十五条第二款所称举借债务的规模，是指各地方政府债务余额限额的总和，包括一般债务限额和专项债务限额。一般债务是指列入一般公共预算用于公益性事业发展的一般债券、地方政府负有偿还责任的外国政府和国际经济组织贷款转贷债务；专项债务是指列入政府性基金预算用于有收益的公益性事业发展的专项债券。</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第四十五条　省、自治区、直辖市政府财政部门依照国务院下达的本地区地方政府债务限额，提出本级和转贷给下级政府的债务限额安排方案，报本级政府批准后，将增加举借的债务列入本级预算调整方案，报本级人民代表大会常务委员会批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接受转贷并向下级政府转贷的政府应当将转贷债务纳入本级预算管理。使用转贷并负有直接偿还责任的政府，应当将转贷债务列入本级预算调整方案，报本级人民代表大会常务委员会批准。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地方各级政府财政部门负责统一管理本地区政府债务。</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第四十六条　国务院可以将举借的外国政府和国际经济组织贷款转贷给省、自治区、直辖市政府。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国务院向省、自治区、直辖市政府转贷的外国政府和国际经济组织贷款，省、自治区、直辖市政府负有直接偿还责任的，应当纳入本级预算管理。省、自治区、直辖市政府未能按时履行还款义务的，国务院可以相应抵扣对该地区的税收返还等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省、自治区、直辖市政府可以将国务院转贷的外国政府和国际经济组织贷款再转贷给下级政府。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第四十七条　财政部和省、自治区、直辖市政府财政部门应当建立健全地方政府债务风险评估指标体系，组织评估地方政府债务风险状况，对债务高风险地区提出预警，并监督化解债务风险。</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第四十八条　县级以上各级政府应当按照本年度转移支付预计执行数的一定比例将下一年度转移支付预计数提前下达至下一级政府，具体下达事宜由本级政府财政部门办理。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除据实结算等特殊项目的转移支付外，提前下达的一般性转移支付预计数的比例一般不低于90%；提前下达的专项转移支付预计数的比例一般不低于70%。其中，按照项目法管理分配的专项转移支付，应当一并明确下一年度组织实施的项目。</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第四十九条　</w:t>
      </w:r>
      <w:r>
        <w:rPr>
          <w:rFonts w:hint="eastAsia" w:ascii="微软雅黑" w:hAnsi="微软雅黑" w:eastAsia="微软雅黑" w:cs="微软雅黑"/>
          <w:color w:val="auto"/>
          <w:sz w:val="21"/>
          <w:szCs w:val="21"/>
          <w:highlight w:val="none"/>
          <w:shd w:val="clear" w:color="auto" w:fill="FFFFFF"/>
        </w:rPr>
        <w:t>经本级政府批准，各级政府财政部门可以设置预算周转金，额度不得超过本级一般公共预算支出总额的1%。年度终了时，各级政府财政部门可以将预算周转金收回并用于补充预算稳定调节基金，额度不得超过本级一般公共预算支出总额的1%</w:t>
      </w:r>
      <w:r>
        <w:rPr>
          <w:rFonts w:hint="eastAsia" w:ascii="微软雅黑" w:hAnsi="微软雅黑" w:eastAsia="微软雅黑" w:cs="微软雅黑"/>
          <w:color w:val="auto"/>
          <w:sz w:val="21"/>
          <w:szCs w:val="21"/>
          <w:highlight w:val="none"/>
          <w:shd w:val="clear" w:color="auto" w:fill="FFFFFF"/>
        </w:rPr>
        <w:t>。</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第五十条　预算法第四十二条第一款所称结转资金，是指预算安排项目的支出年度终了时尚未执行完毕，或者因故未执行但下一年度需要按原用途继续使用的资金；连续两年未用完的结转资金，是指预算安排项目的支出在下一年度终了时仍未用完的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预算法第四十二条第一款所称结余资金，是指年度预算执行终了时，预算收入实际完成数扣除预算支出实际完成数和结转资金后剩余的资金。</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第四章　预算执行</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第五十一条　预算执行中，政府财政部门的主要职责：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（一）研究和落实财政税收政策措施，支持经济社会健康发展；</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（二）制定组织预算收入、管理预算支出以及相关财务、会计、内部控制、监督等制度和办法；</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（三）督促各预算收入征收部门和单位依法履行职责，征缴预算收入；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（四）根据年度支出预算和用款计划，合理调度、拨付预算资金，监督各部门、各单位预算资金使用管理情况；</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（五）统一管理政府债务的举借、支出与偿还，监督债务资金使用情况；</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（六）指导和监督各部门、各单位建立健全财务制度和会计核算体系，规范账户管理，健全内部控制机制，按照规定使用预算资金；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（七）汇总、编报分期的预算执行数据，分析预算执行情况，按照本级人民代表大会常务委员会、本级政府和上一级政府财政部门的要求定期报告预算执行情况，并提出相关政策建议；</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（八）组织和指导预算资金绩效监控、绩效评价；</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（九）协调预算收入征收部门和单位、国库以及其他有关部门的业务工作。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第五十二条　预算法第五十六条第二款所称财政专户，是指财政部门为履行财政管理职能，根据法律规定或者经国务院批准开设的用于管理核算特定专用资金的银行结算账户；所称特定专用资金，包括法律规定可以设立财政专户的资金，外国政府和国际经济组织的贷款、赠款，按照规定存储的人民币以外的货币，财政部会同有关部门报国务院批准的其他特定专用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开设、变更财政专户应当经财政部核准，撤销财政专户应当报财政部备案，中国人民银行应当加强对银行业金融机构开户的核准、管理和监督工作。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财政专户资金由本级政府财政部门管理。除法律另有规定外，未经本级政府财政部门同意，任何部门、单位和个人都无权冻结、动用财政专户资金。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财政专户资金应当由本级政府财政部门纳入统一的会计核算，并在预算执行情况、决算和政府综合财务报告中单独反映。</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第五十三条　预算执行中，各部门、各单位的主要职责：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（一）制定本部门、本单位预算执行制度，建立健全内部控制机制；</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（二）依法组织收入，严格支出管理，实施绩效监控，开展绩效评价，提高资金使用效益；</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（三）对单位的各项经济业务进行会计核算；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（四）汇总本部门、本单位的预算执行情况，定期向本级政府财政部门报送预算执行情况报告和绩效评价报告。</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第五十四条　财政部门会同社会保险行政部门、社会保险费征收机构制定社会保险基金预算的收入、支出以及财务管理的具体办法。</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社会保险基金预算由社会保险费征收机构和社会保险经办机构具体执行，并按照规定向本级政府财政部门和社会保险行政部门报告执行情况。</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第五十五条　各级政府财政部门和税务、海关等预算收入征收部门和单位必须依法组织预算收入，按照财政管理体制、征收管理制度和国库集中收缴制度的规定征收预算收入，除依法缴入财政专户的社会保险基金等预算收入外，应当及时将预算收入缴入国库。</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第五十六条　除依法缴入财政专户的社会保险基金等预算收入外，一切有预算收入上缴义务的部门和单位，必须将应当上缴的预算收入，按照规定的预算级次、政府收支分类科目、缴库方式和期限缴入国库，任何部门、单位和个人不得截留、占用、挪用或者拖欠。</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第五十七条　各级政府财政部门应当加强对预算资金拨付的管理，并遵循下列原则：</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按照预算拨付，即按照批准的年度预算和用款计划拨付资金。除预算法第五十四条规定的在预算草案批准前可以安排支出的情形外，不得办理无预算、无用款计划、超预算或者超计划的资金拨付，不得擅自改变支出用途；</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（二）按照规定的预算级次和程序拨付，即根据用款单位的申请，按照用款单位的预算级次、审定的用款计划和财政部门规定的预算资金拨付程序拨付资金；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（三）按照进度拨付，即根据用款单位的实际用款进度拨付资金。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第五十八条　财政部应当根据全国人民代表大会批准的中央政府债务余额限额，合理安排发行国债的品种、结构、期限和时点。</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省、自治区、直辖市政府财政部门应当根据国务院批准的本地区政府债务限额，合理安排发行本地区政府债券的结构、期限和时点。</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第五十九条　转移支付预算下达和资金拨付应当由财政部门办理，其他部门和单位</w:t>
      </w:r>
      <w:r>
        <w:rPr>
          <w:rFonts w:hint="eastAsia" w:ascii="微软雅黑" w:hAnsi="微软雅黑" w:eastAsia="微软雅黑" w:cs="微软雅黑"/>
          <w:color w:val="auto"/>
          <w:sz w:val="21"/>
          <w:szCs w:val="21"/>
          <w:highlight w:val="none"/>
          <w:shd w:val="clear" w:color="auto" w:fill="FFFFFF"/>
        </w:rPr>
        <w:t>可以</w:t>
      </w:r>
      <w:r>
        <w:rPr>
          <w:rFonts w:hint="eastAsia" w:ascii="微软雅黑" w:hAnsi="微软雅黑" w:eastAsia="微软雅黑" w:cs="微软雅黑"/>
          <w:color w:val="auto"/>
          <w:sz w:val="21"/>
          <w:szCs w:val="21"/>
          <w:highlight w:val="none"/>
          <w:shd w:val="clear" w:color="auto" w:fill="FFFFFF"/>
        </w:rPr>
        <w:t>对下级政府部门和单位下达转移支付预算或者拨付转移支付资金。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第六十条　各级政府、各部门、各单位应当加强对预算支出的管理，严格执行预算，遵守财政制度，强化预算约束，不得擅自扩大支出范围、提高开支标准；严格按照预算规定的支出用途使用资金，合理安排支出进度。</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第六十一条　财政部负责制定与预算执行有关的财务规则、会计准则和会计制度。各部门、各单位应当按照本级政府财政部门的要求建立健全财务制度，加强会计核算。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第六十二条　国库是办理预算收入的收纳、划分、留解、退付和库款支拨的专门机构。国库分为中央国库和地方国库。</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中央国库业务由中国人民银行经理。未设中国人民银行分支机构的地区，由中国人民银行商财政部后，委托有关银行业金融机构办理。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地方国库业务由中国人民银行分支机构经理。未设中国人民银行分支机构的地区，由上级中国人民银行分支机构商有关地方政府财政部门后，委托有关银行业金融机构办理。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具备条件的乡、民族乡、镇，应当设立国库。具体条件和标准由省、自治区、直辖市政府财政部门确定。</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第六十三条　中央国库业务应当接受财政部的指导和监督，对中央财政负责。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地方国库业务应当接受本级政府财政部门的指导和监督，对地方财政负责。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省、自治区、直辖市制定的地方国库业务规程应当报财政部和中国人民银行备案。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第六十四条　各级国库应当及时向本级政府财政部门编报预算收入入库、解库、库款拨付以及库款余额情况的日报、旬报、月报和年报。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第六十五条　各级国库应当依照有关法律、行政法规、国务院以及财政部、中国人民银行的有关规定，加强对国库业务的管理，及时准确地办理预算收入的收纳、划分、留解、退付和预算支出的拨付。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各级国库和有关银行业金融机构必须遵守国家有关预算收入缴库的规定，不得延解、占压应当缴入国库的预算收入和国库库款。</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第六十六条　各级国库必须凭本级政府财政部门签发的拨款凭证或者支付清算指令于当日办理资金拨付，并及时将款项转入收款单位的账户或者清算资金。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各级国库和有关银行业金融机构不得占压财政部门拨付的预算资金。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第六十七条　各级政府财政部门、预算收入征收部门和单位、国库应当建立健全相互之间的预算收入对账制度，在预算执行中按月、按年核对预算收入的收纳以及库款拨付情况，保证预算收入的征收入库、库款拨付和库存金额准确无误。</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第六十八条　中央预算收入、中央和地方预算共享收入退库的办法，由财政部制定。地方预算收入退库的办法，由省、自治区、直辖市政府财政部门制定。</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预算收入退库的审批权属于本级政府财政部门。中央预算收入、中央和地方预算共享收入的退库，由财政部或者财政部授权的机构批准。地方预算收入的退库，由地方政府财政部门或者其授权的机构批准。具体退库程序按照财政部的有关规定办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办理预算收入退库，应当直接退给申请单位或者申请个人，按照国家规定用途使用。任何部门、单位和个人不得截留、挪用退库款项。</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第六十九条　各级政府应当加强对本级国库的管理和监督，各级政府财政部门负责协调本级预算收入征收部门和单位与国库的业务工作。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第七十条　国务院各部门制定的规章、文件，凡涉及减免应缴预算收入、设立和改变收入项目和标准、罚没财物处理、经费开支标准和范围、国有资产处置和收益分配以及会计核算等事项的，应当符合国家统一的规定；凡涉及增加或者减少财政收入或者支出的，应当征求财政部意见。</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第七十一条　地方政府依据法定权限制定的规章和规定的行政措施，不得涉及减免中央预算收入、中央和地方预算共享收入，不得影响中央预算收入、中央和地方预算共享收入的征收；违反规定的，有关预算收入征收部门和单位有权拒绝执行，并应当向上级预算收入征收部门和单位以及财政部报告。</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第七十二条　各级政府应当加强对预算执行工作的领导，定期听取财政部门有关预算执行情况的汇报，研究解决预算执行中出现的问题。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第七十三条　各级政府财政部门有权监督本级各部门及其所属各单位的预算管理有关工作，对各部门的预算执行情况和绩效进行评价、考核。</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各级政府财政部门有权对与本级各预算收入相关的征收部门和单位征收本级预算收入的情况进行监督，对违反法律、行政法规规定多征、提前征收、减征、免征、缓征或者退还预算收入的，</w:t>
      </w:r>
      <w:r>
        <w:rPr>
          <w:rFonts w:hint="eastAsia" w:ascii="微软雅黑" w:hAnsi="微软雅黑" w:eastAsia="微软雅黑" w:cs="微软雅黑"/>
          <w:color w:val="auto"/>
          <w:sz w:val="21"/>
          <w:szCs w:val="21"/>
          <w:highlight w:val="none"/>
          <w:shd w:val="clear" w:color="auto" w:fill="FFFFFF"/>
        </w:rPr>
        <w:t>不能</w:t>
      </w:r>
      <w:r>
        <w:rPr>
          <w:rFonts w:hint="eastAsia" w:ascii="微软雅黑" w:hAnsi="微软雅黑" w:eastAsia="微软雅黑" w:cs="微软雅黑"/>
          <w:color w:val="auto"/>
          <w:sz w:val="21"/>
          <w:szCs w:val="21"/>
          <w:highlight w:val="none"/>
          <w:shd w:val="clear" w:color="auto" w:fill="FFFFFF"/>
        </w:rPr>
        <w:t>责令改正。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第七十四条　各级政府财政部门应当每月向本级政府报告预算执行情况，具体报告内容、方式和期限由本级政府规定。</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第七十五条　地方各级政府财政部门应当定期向上一级政府财政部门报送本行政区域预算执行情况，包括预算执行旬报、月报、季报，政府债务余额统计报告，国库库款报告以及相关文字说明材料。具体报送内容、方式和期限由上一级政府财政部门规定。</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第七十六条　各级税务、海关等预算收入征收部门和单位应当按照财政部门规定的期限和要求，向财政部门和上级主管部门报送有关预算收入征收情况，并附文字说明材料。</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各级税务、海关等预算收入征收部门和单位应当与相关财政部门建立收入征管信息共享机制。</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第七十七条　各部门应当按照本级政府财政部门规定的期限和要求，向本级政府财政部门报送本部门及其所属各单位的预算收支情况等报表和文字说明材料。</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第七十八条　预算法第六十六条第一款所称超收收入，是指年度本级一般公共预算收入的实际完成数超过经本级人民代表大会或者其常务委员会批准的预算收入数的部分。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预算法第六十六条第三款所称短收，是指年度本级一般公共预算收入的实际完成数小于经本级人民代表大会或者其常务委员会批准的预算收入数的情形。</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前两款所称实际完成数和预算收入数，不包括转移性收入和政府债务收入。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省、自治区、直辖市政府依照预算法第六十六条第三款规定增列的赤字，可以通过在国务院下达的本地区政府债务限额内发行地方政府一般债券予以平衡。</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设区的市、自治州以下各级一般公共预算年度执行中出现短收的，应当通过调入预算稳定调节基金或者其他预算资金、减少支出等方式实现收支平衡；采取上述措施仍不能实现收支平衡的，可以通过申请上级政府临时救助平衡当年预算，并在下一年度预算中安排资金归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各级一般公共预算年度执行中厉行节约、节约开支，造成本级预算支出实际执行数小于预算总支出的，不属于预算调整的情形。</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各级政府性基金预算年度执行中有超收收入的，应当在下一年度安排使用并优先用于偿还相应的专项债务；出现短收的，应当通过减少支出实现收支平衡。国务院另有规定的除外。</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各级国有资本经营预算年度执行中有超收收入的，应当在下一年度安排使用；出现短收的，应当通过减少支出实现收支平衡。国务院另有规定的除外。</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第七十九条　年度预算确定后，部门、单位改变隶属关系引起预算级次或者预算关系变化的，应当在改变财务关系的同时，相应办理预算、资产划转。</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第五章　决　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第八十条　预算法第七十四条所称决算草案，是指各级政府、各部门、各单位编制的未经法定程序审查和批准的预算收支和结余的年度执行结果。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第八十一条　财政部应当在每年第四季度部署编制决算草案的原则、要求、方法和报送期限，制发中央各部门决算、地方决算以及其他有关决算的报表格式。</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省、自治区、直辖市政府按照国务院的要求和财政部的部署，结合本地区的具体情况，提出本行政区域编制决算草案的要求。</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县级以上地方政府财政部门根据财政部的部署和省、自治区、直辖市政府的要求，部署编制本级政府各部门和下级政府决算草案的原则、要求、方法和报送期限，制发本级政府各部门决算、下级政府决算以及其他有关决算的报表格式。</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第八十二条　地方政府财政部门根据上级政府财政部门的部署，制定本行政区域决算草案和本级各部门决算草案的具体编制办法。</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各部门根据本级政府财政部门的部署，制定所属各单位决算草案的具体编制办法。</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第八十三条　各级政府财政部门、各部门、各单位在每一预算年度终了时，应当清理核实全年预算收入、支出数据和往来款项，做好决算数据对账工作。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决算各项数据应当以经核实的各级政府、各部门、各单位会计数据为准，不得以估计数据替代，不得弄虚作假。</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各部门、各单位决算应当列示结转、结余资金。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第八十四条　各单位应当按照主管部门的布置，认真编制本单位决算草案，在规定期限内上报。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各部门在审核汇总所属各单位决算草案基础上，连同本部门自身的决算收入和支出数据，汇编成本部门决算草案并附详细说明，经部门负责人签章后，在规定期限内报本级政府财政部门审核。</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第八十五条　各级预算收入征收部门和单位应当按照财政部门的要求，及时编制收入年报以及有关资料并报送财政部门。</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第八十六条　各级政府财政部门应当根据本级预算、预算会计核算数据等相关资料编制本级决算草案。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第八十七条　年度预算执行终了，对于上下级财政之间按照规定需要清算的事项，应当在决算时办理结算。</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县级以上各级政府财政部门编制的决算草案应当及时报送本级政府审计部门审计。</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第八十八条　县级以上地方各级政府应当自本级决算经批准之日起30日内，将本级决算以及下一级政府上报备案的决算汇总，报上一级政府备案；将下一级政府报送备案的决算汇总，报本级人民代表大会常务委员会备案。</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乡、民族乡、镇政府应当自本级决算经批准之日起30日内，将本级决算报上一级政府备案。</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第六章　监　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第八十九条　县级以上各级政府应当接受本级和上级人民代表大会及其常务委员会对预算执行情况和决算的监督，乡、民族乡、镇政府应当接受本级人民代表大会和上级人民代表大会及其常务委员会对预算执行情况和决算的监督；按照本级人民代表大会或者其常务委员会的要求，报告预算执行情况；认真研究处理本级人民代表大会代表或者其常务委员会组成人员有关改进预算管理的建议、批评和意见，并及时答复。</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第九十条　各级政府应当加强对下级政府预算执行情况的监督，对下级政府在预算执行中违反预算法、本条例和国家方针政策的行为，依法予以制止和纠正；对本级预算执行中出现的问题，及时采取处理措施。</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下级政府应当接受上级政府对预算执行情况的监督；根据上级政府的要求，及时提供资料，如实反映情况，不得隐瞒、虚报；严格执行上级政府作出的有关决定，并将执行结果及时上报。</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第九十一条　各部门及其所属各单位应当接受本级政府财政部门对预算管理有关工作的监督。</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财政部派出机构根据职责和财政部的授权，依法开展工作。</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第九十二条　各级政府审计部门应当依法对本级预算执行情况和决算草案，本级各部门、各单位和下级政府的预算执行情况和决算，进行审计监督。</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第七章　法律责任</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第九十三条　预算法第九十三条第六项所称违反本法规定冻结、动用国库库款或者以其他方式支配已入国库库款，是指：</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（一）未经有关政府财政部门同意，冻结、动用国库库款；</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（二）预算收入征收部门和单位违反规定将所收税款和其他预算收入存入国库之外的其他账户；</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（三）未经有关政府财政部门或者财政部门授权的机构同意，办理资金拨付和退付；</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（四）将国库库款挪作他用；</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（五）延解、占压国库库款；</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（六）占压政府财政部门拨付的预算资金。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第九十四条　各级政府、有关部门和单位有下列行为之一的，责令改正；对负有直接责任的主管人员和其他直接责任人员，依法给予处分：</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（一）突破一般债务限额或者专项债务限额举借债务；</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（二）违反本条例规定下达转移支付预算或者拨付转移支付资金；</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（三）擅自开设、变更账户。</w:t>
      </w:r>
    </w:p>
    <w:p>
      <w:pPr>
        <w:pStyle w:val="2"/>
        <w:widowControl/>
        <w:shd w:val="clear" w:color="auto" w:fill="FFFFFF"/>
        <w:spacing w:before="50" w:beforeAutospacing="0" w:after="220" w:afterAutospacing="0"/>
        <w:jc w:val="center"/>
        <w:textAlignment w:val="baseline"/>
        <w:rPr>
          <w:rFonts w:hint="eastAsia" w:ascii="微软雅黑" w:hAnsi="微软雅黑" w:eastAsia="微软雅黑" w:cs="微软雅黑"/>
          <w:color w:val="auto"/>
          <w:sz w:val="21"/>
          <w:szCs w:val="21"/>
          <w:highlight w:val="none"/>
        </w:rPr>
      </w:pPr>
      <w:r>
        <w:rPr>
          <w:rStyle w:val="5"/>
          <w:rFonts w:hint="eastAsia" w:ascii="微软雅黑" w:hAnsi="微软雅黑" w:eastAsia="微软雅黑" w:cs="微软雅黑"/>
          <w:bCs/>
          <w:color w:val="auto"/>
          <w:sz w:val="21"/>
          <w:szCs w:val="21"/>
          <w:highlight w:val="none"/>
          <w:shd w:val="clear" w:color="auto" w:fill="FFFFFF"/>
        </w:rPr>
        <w:t>第八章　附　则</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第九十五条　预算法第九十七条所称政府综合财务报告，是指以权责发生制为基础编制的反映各级政府整体财务状况、运行情况和财政中长期可持续性的报告。政府综合财务报告包括政府资产负债表、收入费用表等财务报表和报表附注，以及以此为基础进行的综合分析等。</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第九十六条　政府投资年度计划应当和本级预算相衔接。政府投资决策、项目实施和监督管理按照政府投资有关行政法规执行。</w:t>
      </w:r>
    </w:p>
    <w:p>
      <w:pPr>
        <w:pStyle w:val="2"/>
        <w:widowControl/>
        <w:shd w:val="clear" w:color="auto" w:fill="FFFFFF"/>
        <w:spacing w:before="50" w:beforeAutospacing="0" w:after="220" w:afterAutospacing="0"/>
        <w:jc w:val="both"/>
        <w:textAlignment w:val="baseline"/>
        <w:rPr>
          <w:rFonts w:hint="eastAsia" w:ascii="微软雅黑" w:hAnsi="微软雅黑" w:eastAsia="微软雅黑" w:cs="微软雅黑"/>
          <w:color w:val="auto"/>
          <w:sz w:val="21"/>
          <w:szCs w:val="21"/>
          <w:highlight w:val="none"/>
        </w:rPr>
      </w:pPr>
      <w:r>
        <w:rPr>
          <w:rFonts w:hint="eastAsia" w:ascii="微软雅黑" w:hAnsi="微软雅黑" w:eastAsia="微软雅黑" w:cs="微软雅黑"/>
          <w:color w:val="auto"/>
          <w:sz w:val="21"/>
          <w:szCs w:val="21"/>
          <w:highlight w:val="none"/>
          <w:shd w:val="clear" w:color="auto" w:fill="FFFFFF"/>
        </w:rPr>
        <w:t>　</w:t>
      </w:r>
      <w:r>
        <w:rPr>
          <w:rFonts w:hint="eastAsia" w:ascii="微软雅黑" w:hAnsi="微软雅黑" w:eastAsia="微软雅黑" w:cs="微软雅黑"/>
          <w:color w:val="auto"/>
          <w:sz w:val="21"/>
          <w:szCs w:val="21"/>
          <w:highlight w:val="none"/>
          <w:shd w:val="clear" w:color="auto" w:fill="FFFFFF"/>
        </w:rPr>
        <w:t>　第九十七条　本条例自190年10月1日起施行。</w:t>
      </w:r>
    </w:p>
    <w:p>
      <w:pPr>
        <w:rPr>
          <w:color w:val="auto"/>
          <w:szCs w:val="21"/>
          <w:highlight w:val="none"/>
        </w:rPr>
      </w:pPr>
    </w:p>
    <w:bookmarkEnd w:id="0"/>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00"/>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5NjE1OGJhOWEzYzYxZWYzY2IzNGQyMTJhNTI0MGUifQ=="/>
  </w:docVars>
  <w:rsids>
    <w:rsidRoot w:val="00B81E81"/>
    <w:rsid w:val="0011063E"/>
    <w:rsid w:val="00265463"/>
    <w:rsid w:val="00B06FFD"/>
    <w:rsid w:val="00B81E81"/>
    <w:rsid w:val="00B9199E"/>
    <w:rsid w:val="0AAA517A"/>
    <w:rsid w:val="21130EEE"/>
    <w:rsid w:val="31584088"/>
    <w:rsid w:val="3A3C6C70"/>
    <w:rsid w:val="4B9A725C"/>
    <w:rsid w:val="5EFB02A7"/>
    <w:rsid w:val="796709E8"/>
    <w:rsid w:val="EEDB33C7"/>
    <w:rsid w:val="EFF76861"/>
    <w:rsid w:val="F8FD1103"/>
    <w:rsid w:val="FBDE666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ind w:left="0" w:right="0"/>
      <w:jc w:val="left"/>
    </w:pPr>
    <w:rPr>
      <w:kern w:val="0"/>
      <w:sz w:val="24"/>
      <w:lang w:val="en-US" w:eastAsia="zh-CN" w:bidi="ar"/>
    </w:rPr>
  </w:style>
  <w:style w:type="character" w:styleId="5">
    <w:name w:val="Strong"/>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23</Pages>
  <Words>1924</Words>
  <Characters>10970</Characters>
  <Lines>91</Lines>
  <Paragraphs>25</Paragraphs>
  <TotalTime>0</TotalTime>
  <ScaleCrop>false</ScaleCrop>
  <LinksUpToDate>false</LinksUpToDate>
  <CharactersWithSpaces>12869</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2024-02-12T23:29:00Z</dcterms:created>
  <dc:creator>22918</dc:creator>
  <cp:lastModifiedBy>小灰灰</cp:lastModifiedBy>
  <dcterms:modified xsi:type="dcterms:W3CDTF">2024-07-10T10:50:42Z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B77FD38B8AB89E7EBFB388663ABAAFB1_43</vt:lpwstr>
  </property>
</Properties>
</file>