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hd w:val="clear" w:color="auto" w:fill="FFFFFF"/>
        <w:spacing w:before="0" w:beforeAutospacing="0" w:after="0" w:afterAutospacing="0"/>
        <w:jc w:val="center"/>
        <w:rPr>
          <w:rFonts w:ascii="宋体" w:hAnsi="宋体" w:eastAsia="宋体"/>
          <w:color w:val="auto"/>
          <w:sz w:val="32"/>
          <w:szCs w:val="32"/>
        </w:rPr>
      </w:pPr>
      <w:bookmarkStart w:id="0" w:name="_GoBack"/>
      <w:r>
        <w:rPr>
          <w:rFonts w:hint="eastAsia" w:ascii="宋体" w:hAnsi="宋体" w:eastAsia="宋体"/>
          <w:color w:val="auto"/>
          <w:sz w:val="32"/>
          <w:szCs w:val="32"/>
        </w:rPr>
        <w:t>中国地震台网中心预警项目改扩建基础设施采购项目招标公告</w:t>
      </w:r>
      <w:r>
        <w:rPr>
          <w:rFonts w:hint="eastAsia" w:ascii="宋体" w:hAnsi="宋体" w:eastAsia="宋体"/>
          <w:color w:val="auto"/>
          <w:sz w:val="32"/>
          <w:szCs w:val="32"/>
        </w:rPr>
        <w:br w:type="textWrapping"/>
      </w:r>
      <w:r>
        <w:rPr>
          <w:rFonts w:hint="eastAsia" w:ascii="宋体" w:hAnsi="宋体" w:eastAsia="宋体"/>
          <w:color w:val="auto"/>
          <w:sz w:val="32"/>
          <w:szCs w:val="32"/>
        </w:rPr>
        <w:br w:type="textWrapping"/>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项目概况</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  中国地震台网中心预警项目改扩建基础设施采购项目的潜在投标人应在中央政府采购网（http://www.zycg.gov.cn）获取招标文件，并于提交（上传）投标文件截止时间前提交（上传）投标文件。</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一、项目基本情况</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1．项目编号：</w:t>
      </w:r>
      <w:r>
        <w:rPr>
          <w:rFonts w:hint="eastAsia" w:ascii="宋体" w:hAnsi="宋体" w:eastAsia="宋体"/>
          <w:color w:val="auto"/>
          <w:sz w:val="21"/>
          <w:szCs w:val="21"/>
        </w:rPr>
        <w:t>GC-HGX240166</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2．项目名称：</w:t>
      </w:r>
      <w:r>
        <w:rPr>
          <w:rFonts w:hint="eastAsia" w:ascii="宋体" w:hAnsi="宋体" w:eastAsia="宋体"/>
          <w:color w:val="auto"/>
          <w:sz w:val="21"/>
          <w:szCs w:val="21"/>
        </w:rPr>
        <w:t>中国地震台网中心预警项目改扩建基础设施采购项目</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3．预算金额：</w:t>
      </w:r>
      <w:r>
        <w:rPr>
          <w:rFonts w:hint="eastAsia" w:ascii="宋体" w:hAnsi="宋体" w:eastAsia="宋体"/>
          <w:color w:val="auto"/>
          <w:sz w:val="21"/>
          <w:szCs w:val="21"/>
        </w:rPr>
        <w:t>315.000000元</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4．最高限价：</w:t>
      </w:r>
      <w:r>
        <w:rPr>
          <w:rFonts w:hint="eastAsia" w:ascii="宋体" w:hAnsi="宋体" w:eastAsia="宋体"/>
          <w:color w:val="auto"/>
          <w:sz w:val="21"/>
          <w:szCs w:val="21"/>
        </w:rPr>
        <w:t>315万元;设备报价不能超过分项最高限价，详见《单台最高限价表》</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5．采购需求：</w:t>
      </w:r>
      <w:r>
        <w:rPr>
          <w:rFonts w:hint="eastAsia" w:ascii="宋体" w:hAnsi="宋体" w:eastAsia="宋体"/>
          <w:color w:val="auto"/>
          <w:sz w:val="21"/>
          <w:szCs w:val="21"/>
        </w:rPr>
        <w:t>万兆交换机,网络控制器,千兆交换机,机架式服务器,塔式工作站,虚拟化软件授权</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6．合同履行期限：</w:t>
      </w:r>
      <w:r>
        <w:rPr>
          <w:rFonts w:hint="eastAsia" w:ascii="宋体" w:hAnsi="宋体" w:eastAsia="宋体"/>
          <w:color w:val="auto"/>
          <w:sz w:val="21"/>
          <w:szCs w:val="21"/>
        </w:rPr>
        <w:t>签订合同后30日内按照甲方要求将设备送达项目现场，签订合同后45日内完成项目的实施、测试、培训等工作。（具体服务起止日期可随合同签订时间相应顺延）</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7．本项目是否接受联合体投标：</w:t>
      </w:r>
      <w:r>
        <w:rPr>
          <w:rFonts w:hint="eastAsia" w:ascii="宋体" w:hAnsi="宋体" w:eastAsia="宋体"/>
          <w:color w:val="auto"/>
          <w:sz w:val="21"/>
          <w:szCs w:val="21"/>
        </w:rPr>
        <w:t>否</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二、投标人的资格要求</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1.满足《中华人民共和国政府采购法》第二十二条规定</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2.落实政府采购政策需满足的资格要求：无</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3.本项目的特定资格要求。</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三、获取招标文件</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1．时间：</w:t>
      </w:r>
      <w:r>
        <w:rPr>
          <w:rFonts w:hint="eastAsia" w:ascii="宋体" w:hAnsi="宋体" w:eastAsia="宋体"/>
          <w:color w:val="auto"/>
          <w:sz w:val="21"/>
          <w:szCs w:val="21"/>
        </w:rPr>
        <w:t>5个工作日</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2．地点：</w:t>
      </w:r>
      <w:r>
        <w:rPr>
          <w:rFonts w:hint="eastAsia" w:ascii="宋体" w:hAnsi="宋体" w:eastAsia="宋体"/>
          <w:color w:val="auto"/>
          <w:sz w:val="21"/>
          <w:szCs w:val="21"/>
        </w:rPr>
        <w:t>中央政府采购网（http://www.zycg.gov.cn）</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3．方式：</w:t>
      </w:r>
      <w:r>
        <w:rPr>
          <w:rFonts w:hint="eastAsia" w:ascii="宋体" w:hAnsi="宋体" w:eastAsia="宋体"/>
          <w:color w:val="auto"/>
          <w:sz w:val="21"/>
          <w:szCs w:val="21"/>
        </w:rPr>
        <w:t>在线下载</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4．售价：</w:t>
      </w:r>
      <w:r>
        <w:rPr>
          <w:rFonts w:hint="eastAsia" w:ascii="宋体" w:hAnsi="宋体" w:eastAsia="宋体"/>
          <w:color w:val="auto"/>
          <w:sz w:val="21"/>
          <w:szCs w:val="21"/>
        </w:rPr>
        <w:t>免费</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四、提交投标文件</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1．提交（上传）投标文件截止时间：</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2024年6月3日09时00分（北京时间）</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2．提交（上传）投标文件地点：</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本项目采用电子采购系统（国e采）进行网上投标，请符合投标条件的投标人安装投标工具（新），编制完成后加密上传投标文件。</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五、开标</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1.时间：</w:t>
      </w:r>
      <w:r>
        <w:rPr>
          <w:rFonts w:hint="eastAsia" w:ascii="宋体" w:hAnsi="宋体" w:eastAsia="宋体"/>
          <w:color w:val="auto"/>
          <w:sz w:val="21"/>
          <w:szCs w:val="21"/>
        </w:rPr>
        <w:t>2024年6月3日09时00分（北京时间）</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2.地点：</w:t>
      </w:r>
      <w:r>
        <w:rPr>
          <w:rFonts w:hint="eastAsia" w:ascii="宋体" w:hAnsi="宋体" w:eastAsia="宋体"/>
          <w:color w:val="auto"/>
          <w:sz w:val="21"/>
          <w:szCs w:val="21"/>
        </w:rPr>
        <w:t>项目通过网上开标大厅进行开标，请在开标当日登录国e采系统点击“网上开标”进入网上开标大厅，在规定时间内等待解密和唱标</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六、公告期限</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自本公告发布之日起</w:t>
      </w:r>
      <w:r>
        <w:rPr>
          <w:rFonts w:ascii="宋体" w:hAnsi="宋体" w:eastAsia="宋体"/>
          <w:color w:val="auto"/>
          <w:sz w:val="21"/>
          <w:szCs w:val="21"/>
        </w:rPr>
        <w:t>50000</w:t>
      </w:r>
      <w:r>
        <w:rPr>
          <w:rFonts w:hint="eastAsia" w:ascii="宋体" w:hAnsi="宋体" w:eastAsia="宋体"/>
          <w:color w:val="auto"/>
          <w:sz w:val="21"/>
          <w:szCs w:val="21"/>
        </w:rPr>
        <w:t>个工作日，公告期限届满后获取采购文件的，获取时间以公告期限届满之日为准。</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七、其他补充事宜</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（一）本项目采用电子采购系统（国e采）进行招投标，请在投标前详细阅读中央政府采购网首页“通知公告”栏目的《关于新版单独委托项目电子采购系统上线试运行的通知》及相关附件。</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（三）供应商可在中央政府采购网（www.zycg.gov.cn）采购公告栏查看并登录下载招标文件，或通过投标工具免费下载招标文件，本项目无须报名。</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（四）供应商在投标过程中涉及系统平台操作的技术问题，可致电国采中心技术支持热线咨询，电话：010-55603940。</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（五）本项目相关信息同时在“中国政府采购网”、“中央政府采购网”等媒体上发布。</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八、凡对本次招标提出询问，请按以下方式联系</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1．采购人信息</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名  称：中国地震台网中心</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地  址：北京市西城区三里河南横街5号</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联系方式：010-59959279</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2．采购执行机构信息</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名  称：中央国家机关政府采购中心</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地  址：北京市西城区西直门内大街西章胡同9号院 邮政编码：100035　　　</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联系方式：详见http://www.zycg.gov.cn/home/contactus</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3．项目联系方式</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文件联系人及电话：谢培高 010-55602757   侯凤成 010-83083527</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九、附件</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中国地震台网中心预警项目改扩建基础设施采购项目招标文件</w:t>
      </w:r>
    </w:p>
    <w:p>
      <w:pPr>
        <w:pStyle w:val="12"/>
        <w:shd w:val="clear" w:color="auto" w:fill="FFFFFF"/>
        <w:spacing w:before="0" w:beforeAutospacing="0" w:after="0" w:afterAutospacing="0"/>
        <w:jc w:val="right"/>
        <w:rPr>
          <w:rFonts w:ascii="宋体" w:hAnsi="宋体" w:eastAsia="宋体"/>
          <w:color w:val="auto"/>
          <w:sz w:val="23"/>
          <w:szCs w:val="23"/>
        </w:rPr>
      </w:pPr>
      <w:r>
        <w:rPr>
          <w:rFonts w:hint="eastAsia" w:ascii="宋体" w:hAnsi="宋体" w:eastAsia="宋体"/>
          <w:color w:val="auto"/>
          <w:sz w:val="21"/>
          <w:szCs w:val="21"/>
        </w:rPr>
        <w:t>中央国家机关政府采购中心</w:t>
      </w:r>
    </w:p>
    <w:p>
      <w:pPr>
        <w:pStyle w:val="12"/>
        <w:shd w:val="clear" w:color="auto" w:fill="FFFFFF"/>
        <w:spacing w:before="0" w:beforeAutospacing="0" w:after="0" w:afterAutospacing="0"/>
        <w:jc w:val="right"/>
        <w:rPr>
          <w:rFonts w:ascii="宋体" w:hAnsi="宋体" w:eastAsia="宋体"/>
          <w:color w:val="auto"/>
          <w:sz w:val="23"/>
          <w:szCs w:val="23"/>
        </w:rPr>
      </w:pPr>
      <w:r>
        <w:rPr>
          <w:rFonts w:hint="eastAsia" w:ascii="宋体" w:hAnsi="宋体" w:eastAsia="宋体"/>
          <w:color w:val="auto"/>
          <w:sz w:val="21"/>
          <w:szCs w:val="21"/>
        </w:rPr>
        <w:t>2024年5月11日</w:t>
      </w:r>
    </w:p>
    <w:p>
      <w:pPr>
        <w:rPr>
          <w:color w:val="auto"/>
        </w:rPr>
      </w:pPr>
    </w:p>
    <w:bookmarkEnd w:id="0"/>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ptos">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Aptos Display">
    <w:altName w:val="苹方-简"/>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BD7"/>
    <w:rsid w:val="002427AF"/>
    <w:rsid w:val="00346EDD"/>
    <w:rsid w:val="00466AFF"/>
    <w:rsid w:val="005C0574"/>
    <w:rsid w:val="0062547D"/>
    <w:rsid w:val="00715EBA"/>
    <w:rsid w:val="00AE4267"/>
    <w:rsid w:val="00AE5BF2"/>
    <w:rsid w:val="00C72D35"/>
    <w:rsid w:val="00CD6FDB"/>
    <w:rsid w:val="00D0407F"/>
    <w:rsid w:val="00D072CB"/>
    <w:rsid w:val="00E84CAE"/>
    <w:rsid w:val="00FC0BD7"/>
    <w:rsid w:val="F7F97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eastAsia="zh-CN"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paragraph" w:styleId="13">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16">
    <w:name w:val="Strong"/>
    <w:basedOn w:val="15"/>
    <w:qFormat/>
    <w:uiPriority w:val="22"/>
    <w:rPr>
      <w:b/>
      <w:bCs/>
    </w:rPr>
  </w:style>
  <w:style w:type="character" w:customStyle="1" w:styleId="17">
    <w:name w:val="标题 1 字符"/>
    <w:basedOn w:val="15"/>
    <w:link w:val="2"/>
    <w:uiPriority w:val="9"/>
    <w:rPr>
      <w:rFonts w:asciiTheme="majorHAnsi" w:hAnsiTheme="majorHAnsi" w:eastAsiaTheme="majorEastAsia" w:cstheme="majorBidi"/>
      <w:color w:val="104862" w:themeColor="accent1" w:themeShade="BF"/>
      <w:sz w:val="40"/>
      <w:szCs w:val="40"/>
    </w:rPr>
  </w:style>
  <w:style w:type="character" w:customStyle="1" w:styleId="18">
    <w:name w:val="标题 2 字符"/>
    <w:basedOn w:val="15"/>
    <w:link w:val="3"/>
    <w:semiHidden/>
    <w:uiPriority w:val="9"/>
    <w:rPr>
      <w:rFonts w:asciiTheme="majorHAnsi" w:hAnsiTheme="majorHAnsi" w:eastAsiaTheme="majorEastAsia" w:cstheme="majorBidi"/>
      <w:color w:val="104862" w:themeColor="accent1" w:themeShade="BF"/>
      <w:sz w:val="32"/>
      <w:szCs w:val="32"/>
    </w:rPr>
  </w:style>
  <w:style w:type="character" w:customStyle="1" w:styleId="19">
    <w:name w:val="标题 3 字符"/>
    <w:basedOn w:val="15"/>
    <w:link w:val="4"/>
    <w:semiHidden/>
    <w:uiPriority w:val="9"/>
    <w:rPr>
      <w:rFonts w:eastAsiaTheme="majorEastAsia" w:cstheme="majorBidi"/>
      <w:color w:val="104862" w:themeColor="accent1" w:themeShade="BF"/>
      <w:sz w:val="28"/>
      <w:szCs w:val="28"/>
    </w:rPr>
  </w:style>
  <w:style w:type="character" w:customStyle="1" w:styleId="20">
    <w:name w:val="标题 4 字符"/>
    <w:basedOn w:val="15"/>
    <w:link w:val="5"/>
    <w:semiHidden/>
    <w:uiPriority w:val="9"/>
    <w:rPr>
      <w:rFonts w:eastAsiaTheme="majorEastAsia" w:cstheme="majorBidi"/>
      <w:i/>
      <w:iCs/>
      <w:color w:val="104862" w:themeColor="accent1" w:themeShade="BF"/>
    </w:rPr>
  </w:style>
  <w:style w:type="character" w:customStyle="1" w:styleId="21">
    <w:name w:val="标题 5 字符"/>
    <w:basedOn w:val="15"/>
    <w:link w:val="6"/>
    <w:semiHidden/>
    <w:uiPriority w:val="9"/>
    <w:rPr>
      <w:rFonts w:eastAsiaTheme="majorEastAsia" w:cstheme="majorBidi"/>
      <w:color w:val="104862" w:themeColor="accent1" w:themeShade="BF"/>
    </w:rPr>
  </w:style>
  <w:style w:type="character" w:customStyle="1" w:styleId="22">
    <w:name w:val="标题 6 字符"/>
    <w:basedOn w:val="15"/>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标题 7 字符"/>
    <w:basedOn w:val="15"/>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8 字符"/>
    <w:basedOn w:val="15"/>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标题 9 字符"/>
    <w:basedOn w:val="15"/>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标题 字符"/>
    <w:basedOn w:val="15"/>
    <w:link w:val="13"/>
    <w:uiPriority w:val="10"/>
    <w:rPr>
      <w:rFonts w:asciiTheme="majorHAnsi" w:hAnsiTheme="majorHAnsi" w:eastAsiaTheme="majorEastAsia" w:cstheme="majorBidi"/>
      <w:spacing w:val="-10"/>
      <w:kern w:val="28"/>
      <w:sz w:val="56"/>
      <w:szCs w:val="56"/>
    </w:rPr>
  </w:style>
  <w:style w:type="character" w:customStyle="1" w:styleId="27">
    <w:name w:val="副标题 字符"/>
    <w:basedOn w:val="15"/>
    <w:link w:val="1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5"/>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5"/>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5"/>
    <w:link w:val="32"/>
    <w:uiPriority w:val="30"/>
    <w:rPr>
      <w:i/>
      <w:iCs/>
      <w:color w:val="104862" w:themeColor="accent1" w:themeShade="BF"/>
    </w:rPr>
  </w:style>
  <w:style w:type="character" w:customStyle="1" w:styleId="34">
    <w:name w:val="Intense Reference"/>
    <w:basedOn w:val="15"/>
    <w:qFormat/>
    <w:uiPriority w:val="32"/>
    <w:rPr>
      <w:b/>
      <w:bCs/>
      <w:smallCaps/>
      <w:color w:val="104862" w:themeColor="accent1" w:themeShade="BF"/>
      <w:spacing w:val="5"/>
    </w:rPr>
  </w:style>
  <w:style w:type="paragraph" w:customStyle="1" w:styleId="35">
    <w:name w:val="paragraphindent"/>
    <w:basedOn w:val="1"/>
    <w:uiPriority w:val="0"/>
    <w:pPr>
      <w:spacing w:before="100" w:beforeAutospacing="1" w:after="100" w:afterAutospacing="1" w:line="240" w:lineRule="auto"/>
    </w:pPr>
    <w:rPr>
      <w:rFonts w:ascii="Times New Roman" w:hAnsi="Times New Roman" w:eastAsia="Times New Roman" w:cs="Times New Roman"/>
      <w:kern w:val="0"/>
      <w14:ligatures w14: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224</Words>
  <Characters>1278</Characters>
  <Lines>10</Lines>
  <Paragraphs>2</Paragraphs>
  <TotalTime>4</TotalTime>
  <ScaleCrop>false</ScaleCrop>
  <LinksUpToDate>false</LinksUpToDate>
  <CharactersWithSpaces>1500</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2024-05-12T12:57:00Z</dcterms:created>
  <dc:creator>huzhecheng</dc:creator>
  <cp:lastModifiedBy>小灰灰</cp:lastModifiedBy>
  <dcterms:modified xsi:type="dcterms:W3CDTF">2024-07-10T10:48:21Z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D55BDE9F0B0D232175F68D66BE4CBAE9_42</vt:lpwstr>
  </property>
</Properties>
</file>