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color w:val="auto"/>
        </w:rPr>
      </w:pPr>
      <w:bookmarkStart w:id="0" w:name="_GoBack"/>
      <w:r>
        <w:rPr>
          <w:rFonts w:hint="eastAsia"/>
          <w:color w:val="auto"/>
        </w:rPr>
        <w:t>化工行业周报：海外天然气价格上涨，纯碱、草甘膦价格上涨</w:t>
      </w:r>
    </w:p>
    <w:p>
      <w:pPr>
        <w:rPr>
          <w:color w:val="auto"/>
        </w:rPr>
      </w:pPr>
      <w:r>
        <w:rPr>
          <w:rFonts w:hint="eastAsia"/>
          <w:color w:val="auto"/>
        </w:rPr>
        <w:t>　　5月份建议关注：1、大宗商品价格上行，关注大型能源央企及相关油服公司在新时代背景下的改革改善与经营业绩提升；2、下游催化较多，一季报超预期的部分半导体、OLED等电子材料公司；3、化纤、制冷剂、化肥等子行业的旺季及补库行情，农药或迎来触底改善。</w:t>
      </w:r>
    </w:p>
    <w:p>
      <w:pPr>
        <w:rPr>
          <w:color w:val="auto"/>
        </w:rPr>
      </w:pPr>
      <w:r>
        <w:rPr>
          <w:rFonts w:hint="eastAsia"/>
          <w:color w:val="auto"/>
        </w:rPr>
        <w:t>　　行业动态</w:t>
      </w:r>
    </w:p>
    <w:p>
      <w:pPr>
        <w:rPr>
          <w:color w:val="auto"/>
        </w:rPr>
      </w:pPr>
      <w:r>
        <w:rPr>
          <w:rFonts w:hint="eastAsia"/>
          <w:color w:val="auto"/>
        </w:rPr>
        <w:t>　　本周（4.29-5.5）均价跟踪的101个化工品种中，共有30个品种价格上涨，43个品种价格下跌，38个品种价格稳定。周均价涨幅居前的品种分别是NYMEX天然气、轻质纯碱（华东）液氨（河北新化）、二甲醚（长三角）、重质纯碱（华东）；而周均价跌幅居前的品种分别是硫酸（浙江巨化98%)、WTI原油、氯化钾（青海盐湖60%)、炭黑（黑猫N330）、黄磷（四川）。</w:t>
      </w:r>
    </w:p>
    <w:p>
      <w:pPr>
        <w:rPr>
          <w:color w:val="auto"/>
        </w:rPr>
      </w:pPr>
      <w:r>
        <w:rPr>
          <w:rFonts w:hint="eastAsia"/>
          <w:color w:val="auto"/>
        </w:rPr>
        <w:t>　　本周（4.29-5.5）国际油价下跌，WTI原油收于78.11美元/桶，收盘价周跌幅6.85%；布伦特原油收于82.96美元/桶，收盘价周跌幅7.31%。宏观方面，美联储宣布将联邦基金利率目标区间维持在5.25%至5.50%的水平不变，符合市场预期。供应端，OPEC4月原油产量保持稳定，最新调查数据显示OPEC4月原油产量维持在2,681万桶/日，较前月减少约5万桶/日；OPEC+会议将于6月31日举行，届时将决定是否将现有的原油产量限制延长至下半年。需求端，OPEC4月月度石油市场报告预计夏季全球原油需求将强劲，因为随着夏季和假日旅行的增加，运输燃料的消费将全面上升；此外OPEC继续预计2024年全球原油需求将增长220万桶/日，与3月评估基本持平。库存方面，EIA数据显示，截至4月26日当周，美国原油库存较前一周增加726.5万桶，扭转前一周下降636.8桶；俄克拉荷马州库欣交割中心的原油库存较前一周增加108.9万桶；汽油库存较前一周小幅增加34.4万桶，包括柴油和取暖油在内的馏分油库存较前一周减少73.2万桶。展望后市，全球经济增速放缓或抑制原油需求增长，然而原油供应存在收窄可能，我们预计国际油价在中高位水平震荡。本周NYMEX天然气期货收报2.14美元/mmbtu，收盘价周涨幅32.71%；TTF天然气期货收报30.10欧元/兆瓦时，收盘价周涨幅4.20%。EIA天然气库存周报显示，截至4月26日当周，美国天然气库存总量为24,840亿立方英尺，较前一周增加590亿立方英尺，较去年同期增加4,360亿立方英尺，同比增长21.3%，同时较5年均值高6,420亿立方英尺，增幅34.9%。展望后市，短期来看，海外天然气库存充裕，价格或维持低位，中期来看，欧洲能源供应结构依然脆弱，地缘政治博弈以及季节性需求波动都可能导致天然气价格剧烈宽幅震荡。</w:t>
      </w:r>
    </w:p>
    <w:p>
      <w:pPr>
        <w:rPr>
          <w:color w:val="auto"/>
        </w:rPr>
      </w:pPr>
      <w:r>
        <w:rPr>
          <w:rFonts w:hint="eastAsia"/>
          <w:color w:val="auto"/>
        </w:rPr>
        <w:t>　　本周（4.29-5.5）纯碱价格上涨。根据百川盈孚，5月5日轻质纯碱市场均价为2,080元/吨，较4月28日价格上涨24元/吨（+1.17%）；重质纯碱市场均价为2,170元/吨，较4月28日价格上涨25元/吨（+1.17%）。供应方面，根据百川盈孚统计，截至2024年第18周，我国纯碱总产能为4,315万吨（包含长期停产企业产能375万吨），装置运行产能共计3,300万吨（共19家联碱工厂，运行产能共计1,653万吨；11家氨碱工厂，运行产能共计1,158万吨以及3家天然碱工厂，产能共计489万吨）；本周青海发投、青海昆仑、南方碱业、青海盐湖等纯碱装置以低产运行为主；杭州龙山、安徽红四方纯碱装置提产中，纯碱行业开工率为84.36%。需求方面，轻质纯碱下游多保持稳定运行，重质纯碱需求稳中上扬。库存方面，本周国内纯碱企业库存总量为68.10万吨（环比-3.73%）。成本方面，2024年第18周纯碱厂家综合成本为1,479.76元/吨（环比+1%）。展望后市，下周国内安徽红四方、杭州龙山纯碱装置预期检修结束，江苏实联纯碱施行较长期检修，纯碱供应量或将小幅下滑；下游需求以稳为主，预计近期纯碱市场价格上涨。</w:t>
      </w:r>
    </w:p>
    <w:p>
      <w:pPr>
        <w:rPr>
          <w:color w:val="auto"/>
        </w:rPr>
      </w:pPr>
      <w:r>
        <w:rPr>
          <w:rFonts w:hint="eastAsia"/>
          <w:color w:val="auto"/>
        </w:rPr>
        <w:t>　　4月23日至4月30日草甘膦价格上涨。根据百川盈孚，4月30日95%草甘膦原粉市场均价为25,993元/吨。供应方面，四川某主流企业维持降负荷开工，其余主流工厂装置正常开工，市场供应正常。需求方面，草甘膦下游客户询单采购积极，新单成交氛围良好，多数企业有排单。库存方面，根据百川盈孚数据，截至4月26日草甘膦库存量为5.32万吨，较4月19日库存量下降2.92%，较去年同期下降35.12%。成本方面，该周上游原料黄磷、甘氨酸价格下跌，液氯价格上涨，百川盈孚测算草甘膦生产成本窄幅减少。展望后市，草甘膦主流企业多有排单，叠加行业库存持续减少，供应端出货顺利；需求端表现良好，海外订单持续释放，预计近期草甘膦价格上涨。</w:t>
      </w:r>
    </w:p>
    <w:p>
      <w:pPr>
        <w:rPr>
          <w:color w:val="auto"/>
        </w:rPr>
      </w:pPr>
      <w:r>
        <w:rPr>
          <w:rFonts w:hint="eastAsia"/>
          <w:color w:val="auto"/>
        </w:rPr>
        <w:t>　　投资建议</w:t>
      </w:r>
    </w:p>
    <w:p>
      <w:pPr>
        <w:rPr>
          <w:color w:val="auto"/>
        </w:rPr>
      </w:pPr>
      <w:r>
        <w:rPr>
          <w:rFonts w:hint="eastAsia"/>
          <w:color w:val="auto"/>
        </w:rPr>
        <w:t>　　截至5月5日，SW基础化工市盈率（TTM剔除负值）为21.44倍，处在历史（2002年至今的56.18%分位数；市净率（MRQ剔除负值）为1.78倍，处在历史水平的8.04%分位数。SW石油石化市盈率（TTM剔除负值）为12.40倍，处在历史（2002年至今）的26.06%分位数市净率（MRQ剔除负值）为1.33倍，处在历史水平的10.78%分位数。5月份建议关注：1大宗商品价格上行，关注大型能源央企及相关油服公司在新时代背景下的改革改善与经营业绩提升；2、下游催化较多，一季报超预期的部分半导体、OLED等电子材料公司；3、化纤制冷剂、化肥等子行业的旺季及补库行情，农药或迎来触底改善。中长期推荐投资主线：1中高油价背景下，特大型能源央企依托特有的资源禀赋、技术优势，以及提质增效，有望受益行业高景气度并迎来价值重估。2、半导体、显示面板行业有望复苏，关注先进封装、HBM等引起的行业变化以及OLED渗透率的提升，关注上游材料国产替代进程；另外，吸附分离材料多领域需求持续高增长。3、周期磨底，关注景气度有望向上的子行业。一是供需结构预期改善，氟化工、涤纶长丝行业景气度有望提升；二是龙头企业抗风险能力强，化工品需求有望复苏，关注新能源新材料领域持续延伸；三是民营石化公司盈利触底向好，并看好民营炼化公司进入新能源、高性能树脂、可降解塑料等具成长性的新材料领域。推荐：万华化学、华鲁恒升、新和成、卫星化学、荣盛石化、东方盛虹、恒力石化、中国石化、中国石油鼎龙股份、安集科技、雅克科技、万润股份、飞凯材料、沪硅产业、江丰电子、德邦科技、巨化股份、桐昆股份；建议关注：中国海油、华特气体、联瑞新材、莱特光电、奥来德、瑞联新材、圣泉集团、新凤鸣。</w:t>
      </w:r>
    </w:p>
    <w:p>
      <w:pPr>
        <w:rPr>
          <w:color w:val="auto"/>
        </w:rPr>
      </w:pPr>
      <w:r>
        <w:rPr>
          <w:rFonts w:hint="eastAsia"/>
          <w:color w:val="auto"/>
        </w:rPr>
        <w:t>　　5月金股：万华化学、安集科技</w:t>
      </w:r>
    </w:p>
    <w:p>
      <w:pPr>
        <w:rPr>
          <w:color w:val="auto"/>
        </w:rPr>
      </w:pPr>
      <w:r>
        <w:rPr>
          <w:rFonts w:hint="eastAsia"/>
          <w:color w:val="auto"/>
        </w:rPr>
        <w:t>　　评级面临的主要风险</w:t>
      </w:r>
    </w:p>
    <w:p>
      <w:pPr>
        <w:rPr>
          <w:color w:val="auto"/>
        </w:rPr>
      </w:pPr>
      <w:r>
        <w:rPr>
          <w:rFonts w:hint="eastAsia"/>
          <w:color w:val="auto"/>
        </w:rPr>
        <w:t>　　地缘政治因素变化引起油价大幅波动；全球经济形势出现变化。</w:t>
      </w:r>
    </w:p>
    <w:p>
      <w:pPr>
        <w:rPr>
          <w:color w:val="auto"/>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SimHei">
    <w:altName w:val="汉仪中黑KW"/>
    <w:panose1 w:val="02010609060101010101"/>
    <w:charset w:val="86"/>
    <w:family w:val="modern"/>
    <w:pitch w:val="default"/>
    <w:sig w:usb0="00000000" w:usb1="00000000" w:usb2="00000016" w:usb3="00000000" w:csb0="00040001"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993"/>
    <w:rsid w:val="0042402F"/>
    <w:rsid w:val="00956D5E"/>
    <w:rsid w:val="00A146D3"/>
    <w:rsid w:val="00D010E7"/>
    <w:rsid w:val="00D072CB"/>
    <w:rsid w:val="00D70993"/>
    <w:rsid w:val="00D813A6"/>
    <w:rsid w:val="00DB3A35"/>
    <w:rsid w:val="00FC761B"/>
    <w:rsid w:val="00FF1419"/>
    <w:rsid w:val="BFFA00D9"/>
    <w:rsid w:val="D3FD7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toc 1"/>
    <w:basedOn w:val="1"/>
    <w:next w:val="1"/>
    <w:unhideWhenUsed/>
    <w:qFormat/>
    <w:uiPriority w:val="39"/>
    <w:pPr>
      <w:widowControl/>
      <w:tabs>
        <w:tab w:val="right" w:leader="dot" w:pos="8296"/>
      </w:tabs>
      <w:adjustRightInd w:val="0"/>
      <w:snapToGrid w:val="0"/>
      <w:spacing w:line="360" w:lineRule="auto"/>
      <w:jc w:val="left"/>
    </w:pPr>
    <w:rPr>
      <w:rFonts w:ascii="Times New Roman" w:hAnsi="Times New Roman" w:eastAsia="SimHei" w:cs="Times New Roman"/>
      <w:kern w:val="0"/>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409</Words>
  <Characters>2337</Characters>
  <Lines>19</Lines>
  <Paragraphs>5</Paragraphs>
  <TotalTime>3</TotalTime>
  <ScaleCrop>false</ScaleCrop>
  <LinksUpToDate>false</LinksUpToDate>
  <CharactersWithSpaces>2741</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2024-05-12T09:39:00Z</dcterms:created>
  <dc:creator>juber z_</dc:creator>
  <cp:lastModifiedBy>小灰灰</cp:lastModifiedBy>
  <dcterms:modified xsi:type="dcterms:W3CDTF">2024-07-10T10:42:20Z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669F7273952F8FC826F48D66485A5219_42</vt:lpwstr>
  </property>
</Properties>
</file>