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</w:rPr>
      </w:pPr>
      <w:bookmarkStart w:id="0" w:name="_GoBack"/>
      <w:r>
        <w:rPr>
          <w:rFonts w:hint="eastAsia"/>
          <w:color w:val="auto"/>
        </w:rPr>
        <w:t>化工行业周报：细分板块关注度提升，产品价格延续涨势</w:t>
      </w:r>
    </w:p>
    <w:p>
      <w:pPr>
        <w:rPr>
          <w:color w:val="auto"/>
        </w:rPr>
      </w:pPr>
      <w:r>
        <w:rPr>
          <w:rFonts w:hint="eastAsia"/>
          <w:color w:val="auto"/>
        </w:rPr>
        <w:t>　　摘要：</w:t>
      </w:r>
    </w:p>
    <w:p>
      <w:pPr>
        <w:rPr>
          <w:color w:val="auto"/>
        </w:rPr>
      </w:pPr>
      <w:r>
        <w:rPr>
          <w:rFonts w:hint="eastAsia"/>
          <w:color w:val="auto"/>
        </w:rPr>
        <w:t>　　原油：截至2024年4月19日，WTI原油期货价格为83.14美元/桶，周环比-2.21%；布伦特原油期货价格为87.29美元/桶，周环比-2.73%。2024年4月15日至18日，市场对伊以冲突扩大化的担忧逐渐降温，但19日发生新的冲突时，市场立即反映明显，盘中油价拉涨，说明市场对以色列及中东局势不稳定性的担忧并未消除；EIA最新一期数据显示，原油库存近三周连续小幅增长，需求端短线承压，但地缘局势的不稳定性还在延续，国际油价维持高位区间运行概率较大。</w:t>
      </w:r>
    </w:p>
    <w:p>
      <w:pPr>
        <w:rPr>
          <w:color w:val="auto"/>
        </w:rPr>
      </w:pPr>
      <w:r>
        <w:rPr>
          <w:rFonts w:hint="eastAsia"/>
          <w:color w:val="auto"/>
        </w:rPr>
        <w:t>　　聚氨酯：截至2024年4月19日，纯苯市场价格震荡上涨，主要系下游装置检修完成，备货需求提升导致。苯胺市场高位回落，尽管由于装置检修，供应相对减少，但是苯胺涨至高价后，市场提货预期一般。2024年4月15日至19日期间，国内聚合MDI市场价格走高，主要系国内及出口新订单增加，现货供应有限，整体社会库存释放导致。国内下游板材、喷涂行业刚需跟进，需求缓慢恢复，预计短期原料涨价及库存释放对聚合MDI价格形成支撑。</w:t>
      </w:r>
    </w:p>
    <w:p>
      <w:pPr>
        <w:rPr>
          <w:color w:val="auto"/>
        </w:rPr>
      </w:pPr>
      <w:r>
        <w:rPr>
          <w:rFonts w:hint="eastAsia"/>
          <w:color w:val="auto"/>
        </w:rPr>
        <w:t>　　聚酯化纤：截至2024年4月31日，PA66价格周环比持平，原料价格高位运行，成本面支撑稳定，己二酸价格小幅回落，己二胺按月定价，4月执行价格上调1500万元/吨，天辰齐翔己二胺供应量增长，原料市场供应紧张稍有缓解。综合来看，PA66成本面支撑暂时较为稳定，终端市场对高价采购积极性一般，下游多按需跟进，市场横盘整理。</w:t>
      </w:r>
    </w:p>
    <w:p>
      <w:pPr>
        <w:rPr>
          <w:color w:val="auto"/>
        </w:rPr>
      </w:pPr>
      <w:r>
        <w:rPr>
          <w:rFonts w:hint="eastAsia"/>
          <w:color w:val="auto"/>
        </w:rPr>
        <w:t>　　氟化工：截至2024年4月19日，萤石湿粉价格周环比+2.86%，同比+16.13%，供应端部分矿山整改供应增量仍有限，下游主力工厂采购拉高报盘，制冷剂需求仍然旺盛，预计萤石价格走势高位运行；截至2024年4月19，制冷剂周环比价格R22+2.08%，R32+3.45%，旺季及成本提振加持下，主流厂家定价探涨，下游终端空调市场旺季支撑明显，叠加出口市场逐步恢复，市场部分呈现供应偏紧情况，整体区间上行为主。</w:t>
      </w:r>
    </w:p>
    <w:p>
      <w:pPr>
        <w:rPr>
          <w:color w:val="auto"/>
        </w:rPr>
      </w:pPr>
      <w:r>
        <w:rPr>
          <w:rFonts w:hint="eastAsia"/>
          <w:color w:val="auto"/>
        </w:rPr>
        <w:t>　　碳酸锂：截至2024年4月19日，碳酸锂价格周环比持平。碳酸锂价差持续收窄，反映出市场对低价货接受度较高，高价货仍持观望态度。3月份新能源汽车销量和储能累计环比增速均超出预期，导致现阶段产业链内库存过剩，接下来需求虽有提振，但增速将逐步放缓。</w:t>
      </w:r>
    </w:p>
    <w:p>
      <w:pPr>
        <w:rPr>
          <w:color w:val="auto"/>
        </w:rPr>
      </w:pPr>
      <w:r>
        <w:rPr>
          <w:rFonts w:hint="eastAsia"/>
          <w:color w:val="auto"/>
        </w:rPr>
        <w:t>　　重点数据：截至2024年4月19日，周内跟踪的132种化工产品价格中，上涨42种，持平36种，下跌34种。周涨幅前十的化工品为：尿素（8.21%）、甲醛（4.46%）、甲醇（4.45%）、LNG（4.06%）、冰醋酸（3.73%）、丙酮、ABS（3.51%）、MMA（3.39%）、甲基丙烯酸（3.31%）、纯苯（3.11%）。</w:t>
      </w:r>
    </w:p>
    <w:p>
      <w:pPr>
        <w:rPr>
          <w:color w:val="auto"/>
        </w:rPr>
      </w:pPr>
      <w:r>
        <w:rPr>
          <w:rFonts w:hint="eastAsia"/>
          <w:color w:val="auto"/>
        </w:rPr>
        <w:t>　　受益于国内经济活动持续恢复以及海外市场需求提升，维持化工行业“推荐”评级。</w:t>
      </w:r>
    </w:p>
    <w:p>
      <w:pPr>
        <w:rPr>
          <w:color w:val="auto"/>
        </w:rPr>
      </w:pPr>
      <w:r>
        <w:rPr>
          <w:rFonts w:hint="eastAsia"/>
          <w:color w:val="auto"/>
        </w:rPr>
        <w:t>　　投资建议：面对国际油价的持续走高的影响，煤制烯烃龙头成本效益凸显，建议关注：宝丰能源（600989.SH）；在业绩稳增长预期下，石油石化等低估值、高分红企业，有望维持较好表现，建议关注：中国石化（600028.SH）、中国石油（601857.SH）、中国海油（600938.SH）；制冷剂在执行配额后供给端收缩，下游旺季采购订单集中，价格高位支撑，建议关注：金石资源（603505.SH）、巨化股份（600160.SH）、三美股份（603379.SH）、昊华科技（600378.SH）等；轮胎公司积极海外市场扩张，业绩表现较好，建议关注：赛轮轮胎（601058.SH）。</w:t>
      </w:r>
    </w:p>
    <w:p>
      <w:pPr>
        <w:rPr>
          <w:color w:val="auto"/>
        </w:rPr>
      </w:pPr>
      <w:r>
        <w:rPr>
          <w:rFonts w:hint="eastAsia"/>
          <w:color w:val="auto"/>
        </w:rPr>
        <w:t>　　风险提示：原油价格大幅波动；汇率波动；贸易摩擦持续恶化；地缘政治局势紧张升级；业绩不及预期；所引用数据资料的误差风险。</w:t>
      </w:r>
    </w:p>
    <w:p>
      <w:pPr>
        <w:rPr>
          <w:color w:val="aut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F3"/>
    <w:rsid w:val="00421B5F"/>
    <w:rsid w:val="005E012E"/>
    <w:rsid w:val="006054C2"/>
    <w:rsid w:val="006A2FD7"/>
    <w:rsid w:val="008B585A"/>
    <w:rsid w:val="008D2231"/>
    <w:rsid w:val="009804F3"/>
    <w:rsid w:val="00A146D3"/>
    <w:rsid w:val="00D010E7"/>
    <w:rsid w:val="00D05E96"/>
    <w:rsid w:val="00D072CB"/>
    <w:rsid w:val="00FF1419"/>
    <w:rsid w:val="369B0874"/>
    <w:rsid w:val="7DFB8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hAnsi="Times New Roman" w:eastAsia="SimHei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1295</Characters>
  <Lines>10</Lines>
  <Paragraphs>3</Paragraphs>
  <TotalTime>2</TotalTime>
  <ScaleCrop>false</ScaleCrop>
  <LinksUpToDate>false</LinksUpToDate>
  <CharactersWithSpaces>1519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2024-05-12T09:03:00Z</dcterms:created>
  <dc:creator>juber z_</dc:creator>
  <cp:lastModifiedBy>小灰灰</cp:lastModifiedBy>
  <dcterms:modified xsi:type="dcterms:W3CDTF">2024-07-10T10:42:29Z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59417ECA99F02EE42CF48D6622A53DA6_42</vt:lpwstr>
  </property>
</Properties>
</file>