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国家药品监督管理局医疗器械技术审评中心新址网络及多媒体融合集成采购项目招标公告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国家药品监督管理局医疗器械技术审评中心新址网络及多媒体融合集成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GC-HGX240285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国家药品监督管理局医疗器械技术审评中心新址网络及多媒体融合集成采购项目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565.120000元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565.12万元;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核心交换机,无线手持话筒,无线控制器,精密空调,接入交换机03,POE交换机02,发送卡,接入交换机04,态势感知,接收卡,入侵防御设备IPS,POE交换机01,防火墙03,图像拼接控制器02,配电箱,防火墙01,接入交换机01,流量探针,辅助显示屏,钢结构及包边装饰,音频处理器02,LED显示屏04,接入交换机02,无线接入点,LED显示屏01,图像拼接控制器01,吸顶音箱,吸顶音箱功放,音柱音箱功放,图像拼接控制器04,认证管理软件,线性阵列音箱功放,一体化单屏会议电视终端,接入交换机05,网闸,音视频机柜,线性阵列音箱,中控系统,Web应用防火墙,图像拼接控制器03,视频会议摄像头,调音台01,LED显示屏02,手拉手会议有线麦克风,音频处理器01,DDOS防护,音柱音箱,LED显示屏03,调音台02,上网行为管理,手拉手会议主机,防火墙02,电源时序器,链路负载均衡</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合同签订后20日内安装调试完毕并具备验收条件（具体服务起止日期可随合同签订时间相应顺延）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2024年5月29日09时00分（北京时间）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2024年5月29日09时00分（北京时间）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称：国家药品监督管理局医疗器械技术审评中心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址：北京市西城区车公庄大街9号院1号楼</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联系方式：010-86452741</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w:t>
      </w:r>
      <w:r>
        <w:rPr>
          <w:rFonts w:ascii="宋体" w:hAnsi="宋体" w:eastAsia="宋体"/>
          <w:color w:val="auto"/>
          <w:sz w:val="21"/>
          <w:szCs w:val="21"/>
        </w:rPr>
        <w:t>62</w:t>
      </w:r>
      <w:r>
        <w:rPr>
          <w:rFonts w:hint="eastAsia" w:ascii="宋体" w:hAnsi="宋体" w:eastAsia="宋体"/>
          <w:color w:val="auto"/>
          <w:sz w:val="21"/>
          <w:szCs w:val="21"/>
        </w:rPr>
        <w:t>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文件联系人及电话：王震 010-55602563   王云飞 010-55603585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国家药品监督管理局医疗器械技术审评中心新址网络及多媒体融合集成采购项目招标文件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2024年5月8日</w:t>
      </w:r>
    </w:p>
    <w:p>
      <w:pPr>
        <w:rPr>
          <w:rFonts w:hint="eastAsia"/>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swiss"/>
    <w:pitch w:val="default"/>
    <w:sig w:usb0="00000000" w:usb1="00000000" w:usb2="00000000"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0D6282"/>
    <w:rsid w:val="00192D69"/>
    <w:rsid w:val="003E27D6"/>
    <w:rsid w:val="0062547D"/>
    <w:rsid w:val="00630D32"/>
    <w:rsid w:val="00633353"/>
    <w:rsid w:val="0063587B"/>
    <w:rsid w:val="00715EBA"/>
    <w:rsid w:val="00765B4B"/>
    <w:rsid w:val="007A66BB"/>
    <w:rsid w:val="00876D7B"/>
    <w:rsid w:val="008A0595"/>
    <w:rsid w:val="00AC1BAA"/>
    <w:rsid w:val="00AE4267"/>
    <w:rsid w:val="00AE5BF2"/>
    <w:rsid w:val="00B25B2E"/>
    <w:rsid w:val="00C80070"/>
    <w:rsid w:val="00CD6FDB"/>
    <w:rsid w:val="00D0407F"/>
    <w:rsid w:val="00D072CB"/>
    <w:rsid w:val="00E17DDA"/>
    <w:rsid w:val="00E84CAE"/>
    <w:rsid w:val="00FC0BD7"/>
    <w:rsid w:val="7FAFB9D7"/>
    <w:rsid w:val="7FD9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275</Words>
  <Characters>1571</Characters>
  <Lines>13</Lines>
  <Paragraphs>3</Paragraphs>
  <TotalTime>4</TotalTime>
  <ScaleCrop>false</ScaleCrop>
  <LinksUpToDate>false</LinksUpToDate>
  <CharactersWithSpaces>1843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2024-05-12T23:00:00Z</dcterms:created>
  <dc:creator>huzhecheng</dc:creator>
  <cp:lastModifiedBy>小灰灰</cp:lastModifiedBy>
  <dcterms:modified xsi:type="dcterms:W3CDTF">2024-07-10T10:42:12Z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B746AF27063F7AB71CF48D66A381A186_42</vt:lpwstr>
  </property>
</Properties>
</file>