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63" w:name="_GoBack"/>
      <w:r>
        <w:rPr>
          <w:rFonts w:ascii="Helvetica" w:hAnsi="Helvetica" w:eastAsia="宋体" w:cs="Helvetica"/>
          <w:color w:val="auto"/>
          <w:kern w:val="0"/>
          <w:sz w:val="27"/>
          <w:szCs w:val="27"/>
        </w:rPr>
        <w:t>塔里木二期项目裂解气清焦阀和传输阀(变更)(变更)</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独山子石化公司塔里木120万吨/年二期乙烯项目乙烯装置裂解气传输阀&amp;清焦阀招标公告</w:t>
      </w:r>
      <w:bookmarkStart w:id="0" w:name="_Toc530144919"/>
      <w:bookmarkEnd w:id="0"/>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（招标编号：HQCBJ-ZB-22600A-1-2024-M-0343）</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bookmarkStart w:id="1" w:name="_Toc11824"/>
      <w:bookmarkEnd w:id="1"/>
      <w:bookmarkStart w:id="2" w:name="_Toc17865"/>
      <w:bookmarkEnd w:id="2"/>
      <w:bookmarkStart w:id="3" w:name="_Toc2166"/>
      <w:bookmarkEnd w:id="3"/>
      <w:bookmarkStart w:id="4" w:name="_Toc12162"/>
      <w:bookmarkEnd w:id="4"/>
      <w:bookmarkStart w:id="5" w:name="_Toc29258"/>
      <w:bookmarkEnd w:id="5"/>
      <w:bookmarkStart w:id="6" w:name="_Toc3465"/>
      <w:bookmarkEnd w:id="6"/>
      <w:bookmarkStart w:id="7" w:name="_Toc1078"/>
      <w:bookmarkEnd w:id="7"/>
      <w:bookmarkStart w:id="8" w:name="_Toc22073"/>
      <w:r>
        <w:rPr>
          <w:rFonts w:ascii="Helvetica" w:hAnsi="Helvetica" w:eastAsia="宋体" w:cs="Helvetica"/>
          <w:color w:val="auto"/>
          <w:kern w:val="0"/>
          <w:sz w:val="18"/>
          <w:szCs w:val="18"/>
        </w:rPr>
        <w:t>1. 招标条件</w:t>
      </w:r>
      <w:bookmarkEnd w:id="8"/>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塔里木二期项目裂解气传输阀&amp;清焦阀。《独山子石化公司塔里木120万吨/年二期乙烯项目可行性研究报告》已由中国石油天然气股份有限公司批复，项目可研批文号：石油股份计划〔2023〕38号，基础设计已获批复，文号：石油股份工程物装【2023】204号。项目业主为中国石油天然气股份有限公司塔里木石化分公司，建设资金来源为自筹，项目出资比例为100% ，招标人为中国寰球工程有限公司。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本工程项目资金已落实，具备招标条件，现对裂解气传输阀&amp;清焦阀进行公开招标。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9" w:name="_Toc27581"/>
      <w:bookmarkEnd w:id="9"/>
      <w:bookmarkStart w:id="10" w:name="_Toc28955"/>
      <w:bookmarkEnd w:id="10"/>
      <w:bookmarkStart w:id="11" w:name="_Toc5827"/>
      <w:bookmarkEnd w:id="11"/>
      <w:bookmarkStart w:id="12" w:name="_Toc23846"/>
      <w:bookmarkEnd w:id="12"/>
      <w:bookmarkStart w:id="13" w:name="_Toc8206"/>
      <w:bookmarkEnd w:id="13"/>
      <w:bookmarkStart w:id="14" w:name="_Toc530144920"/>
      <w:bookmarkEnd w:id="14"/>
      <w:bookmarkStart w:id="15" w:name="_Toc8052"/>
      <w:bookmarkEnd w:id="15"/>
      <w:bookmarkStart w:id="16" w:name="_Toc943"/>
      <w:bookmarkEnd w:id="16"/>
      <w:bookmarkStart w:id="17" w:name="_Toc20218"/>
      <w:r>
        <w:rPr>
          <w:rFonts w:ascii="Helvetica" w:hAnsi="Helvetica" w:eastAsia="宋体" w:cs="Helvetica"/>
          <w:color w:val="auto"/>
          <w:kern w:val="0"/>
          <w:sz w:val="18"/>
          <w:szCs w:val="18"/>
        </w:rPr>
        <w:t>2. 项目概况与招标范围</w:t>
      </w:r>
      <w:bookmarkEnd w:id="17"/>
    </w:p>
    <w:p>
      <w:pPr>
        <w:widowControl/>
        <w:spacing w:before="100" w:beforeAutospacing="1" w:after="100" w:afterAutospacing="1"/>
        <w:jc w:val="left"/>
        <w:rPr>
          <w:rFonts w:ascii="Helvetica" w:hAnsi="Helvetica" w:eastAsia="宋体" w:cs="Helvetica"/>
          <w:color w:val="auto"/>
          <w:kern w:val="0"/>
          <w:sz w:val="18"/>
          <w:szCs w:val="18"/>
        </w:rPr>
      </w:pPr>
      <w:bookmarkStart w:id="18" w:name="_Toc530144921"/>
      <w:bookmarkEnd w:id="18"/>
      <w:r>
        <w:rPr>
          <w:rFonts w:ascii="Helvetica" w:hAnsi="Helvetica" w:eastAsia="宋体" w:cs="Helvetica"/>
          <w:color w:val="auto"/>
          <w:kern w:val="0"/>
          <w:sz w:val="18"/>
          <w:szCs w:val="18"/>
        </w:rPr>
        <w:t>1. 招标项目概况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独山子石化塔里木120万吨/年二期乙烯项目由中石油投资建设，项目位于新疆巴音郭楞蒙古自治州库尔勒上库高新技术产业开发区石油石化产业园。</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项目利用塔里木油田丰富资源，新建120万吨/年乙烯及多套工艺装置，配套建设中心控制室、化验室、动力站、空分空压、循环水场、除盐水中站、污水处理、全厂火炬、全厂罐区及其他全厂性公用工程及辅助生产设施等。</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二、招标范围</w:t>
      </w:r>
    </w:p>
    <w:p>
      <w:pPr>
        <w:widowControl/>
        <w:spacing w:before="100" w:beforeAutospacing="1" w:after="100" w:afterAutospacing="1"/>
        <w:ind w:left="439"/>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招标范围：裂解气传输阀和清焦阀，共24台/套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标段（标包）划分：共1个标段</w:t>
      </w:r>
      <w:bookmarkStart w:id="19" w:name="_Toc22993"/>
      <w:bookmarkEnd w:id="19"/>
      <w:bookmarkStart w:id="20" w:name="_Toc21742"/>
      <w:bookmarkEnd w:id="20"/>
      <w:bookmarkStart w:id="21" w:name="_Toc87"/>
      <w:bookmarkEnd w:id="21"/>
      <w:bookmarkStart w:id="22" w:name="_Toc25698"/>
      <w:bookmarkEnd w:id="22"/>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交货地点：独山子石化塔里木1</w:t>
      </w:r>
      <w:r>
        <w:rPr>
          <w:rFonts w:hint="eastAsia" w:ascii="Helvetica" w:hAnsi="Helvetica" w:eastAsia="宋体" w:cs="Helvetica"/>
          <w:color w:val="auto"/>
          <w:kern w:val="0"/>
          <w:sz w:val="18"/>
          <w:szCs w:val="18"/>
        </w:rPr>
        <w:t>0</w:t>
      </w:r>
      <w:r>
        <w:rPr>
          <w:rFonts w:ascii="Helvetica" w:hAnsi="Helvetica" w:eastAsia="宋体" w:cs="Helvetica"/>
          <w:color w:val="auto"/>
          <w:kern w:val="0"/>
          <w:sz w:val="18"/>
          <w:szCs w:val="18"/>
        </w:rPr>
        <w:t>0万吨/年二期乙烯项目工程现场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xml:space="preserve">● </w:t>
      </w:r>
      <w:r>
        <w:rPr>
          <w:rFonts w:ascii="Helvetica" w:hAnsi="Helvetica" w:eastAsia="宋体" w:cs="Helvetica"/>
          <w:color w:val="auto"/>
          <w:kern w:val="0"/>
          <w:sz w:val="18"/>
          <w:szCs w:val="18"/>
        </w:rPr>
        <w:t>交货期：不迟于202</w:t>
      </w:r>
      <w:r>
        <w:rPr>
          <w:rFonts w:hint="eastAsia" w:ascii="Helvetica" w:hAnsi="Helvetica" w:eastAsia="宋体" w:cs="Helvetica"/>
          <w:color w:val="auto"/>
          <w:kern w:val="0"/>
          <w:sz w:val="18"/>
          <w:szCs w:val="18"/>
        </w:rPr>
        <w:t>0</w:t>
      </w:r>
      <w:r>
        <w:rPr>
          <w:rFonts w:ascii="Helvetica" w:hAnsi="Helvetica" w:eastAsia="宋体" w:cs="Helvetica"/>
          <w:color w:val="auto"/>
          <w:kern w:val="0"/>
          <w:sz w:val="18"/>
          <w:szCs w:val="18"/>
        </w:rPr>
        <w:t>年6月30日前交付至项目现场指定地点</w:t>
      </w:r>
    </w:p>
    <w:p>
      <w:pPr>
        <w:widowControl/>
        <w:spacing w:before="100" w:beforeAutospacing="1" w:after="100" w:afterAutospacing="1"/>
        <w:jc w:val="left"/>
        <w:rPr>
          <w:rFonts w:ascii="Helvetica" w:hAnsi="Helvetica" w:eastAsia="宋体" w:cs="Helvetica"/>
          <w:color w:val="auto"/>
          <w:kern w:val="0"/>
          <w:sz w:val="18"/>
          <w:szCs w:val="18"/>
        </w:rPr>
      </w:pPr>
      <w:bookmarkStart w:id="23" w:name="_Toc1280"/>
      <w:bookmarkEnd w:id="23"/>
      <w:bookmarkStart w:id="24" w:name="_Toc18688"/>
      <w:bookmarkEnd w:id="24"/>
      <w:bookmarkStart w:id="25" w:name="_Toc4502"/>
      <w:bookmarkEnd w:id="25"/>
      <w:bookmarkStart w:id="26" w:name="_Toc6458"/>
      <w:r>
        <w:rPr>
          <w:rFonts w:ascii="Helvetica" w:hAnsi="Helvetica" w:eastAsia="宋体" w:cs="Helvetica"/>
          <w:color w:val="auto"/>
          <w:kern w:val="0"/>
          <w:sz w:val="18"/>
          <w:szCs w:val="18"/>
        </w:rPr>
        <w:t>3. 投标人资格要求</w:t>
      </w:r>
      <w:bookmarkEnd w:id="26"/>
    </w:p>
    <w:p>
      <w:pPr>
        <w:widowControl/>
        <w:spacing w:before="100" w:beforeAutospacing="1" w:after="100" w:afterAutospacing="1"/>
        <w:jc w:val="left"/>
        <w:rPr>
          <w:rFonts w:ascii="Helvetica" w:hAnsi="Helvetica" w:eastAsia="宋体" w:cs="Helvetica"/>
          <w:color w:val="auto"/>
          <w:kern w:val="0"/>
          <w:sz w:val="18"/>
          <w:szCs w:val="18"/>
        </w:rPr>
      </w:pPr>
      <w:bookmarkStart w:id="27" w:name="_Toc5718"/>
      <w:bookmarkEnd w:id="27"/>
      <w:bookmarkStart w:id="28" w:name="_Toc21697"/>
      <w:bookmarkEnd w:id="28"/>
      <w:bookmarkStart w:id="29" w:name="_Toc22784"/>
      <w:bookmarkEnd w:id="29"/>
      <w:bookmarkStart w:id="30" w:name="_Toc13317"/>
      <w:bookmarkEnd w:id="30"/>
      <w:bookmarkStart w:id="31" w:name="_Toc9216"/>
      <w:bookmarkEnd w:id="31"/>
      <w:bookmarkStart w:id="32" w:name="_Toc9172"/>
      <w:bookmarkEnd w:id="32"/>
      <w:bookmarkStart w:id="33" w:name="_Toc530144922"/>
      <w:bookmarkEnd w:id="33"/>
      <w:bookmarkStart w:id="34" w:name="_Toc25914"/>
      <w:r>
        <w:rPr>
          <w:rFonts w:ascii="Helvetica" w:hAnsi="Helvetica" w:eastAsia="宋体" w:cs="Helvetica"/>
          <w:color w:val="auto"/>
          <w:kern w:val="0"/>
          <w:sz w:val="18"/>
          <w:szCs w:val="18"/>
        </w:rPr>
        <w:t>3.1</w:t>
      </w:r>
      <w:bookmarkEnd w:id="34"/>
      <w:r>
        <w:rPr>
          <w:rFonts w:ascii="Helvetica" w:hAnsi="Helvetica" w:eastAsia="宋体" w:cs="Helvetica"/>
          <w:color w:val="auto"/>
          <w:kern w:val="0"/>
          <w:sz w:val="18"/>
          <w:szCs w:val="18"/>
        </w:rPr>
        <w:t>投标人资格条件: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（1）资格条件1</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须是在中华人民共和国境内依法注册的独立法人。企业法人须提供有效的营业执照、组织机构代码证、税务登记证复印件（执行“三证合一”或“五证合一”、“一照一码”登记制度改革要求的企业，只需提供加载统一社会信用代码的营业执照即可）。其它类型法人须提供政府相关机构出具的登记证书复印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（2）资格条件2</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投标人及其投标产品的制造商须</w:t>
      </w:r>
      <w:r>
        <w:rPr>
          <w:rFonts w:hint="eastAsia" w:ascii="Helvetica" w:hAnsi="Helvetica" w:eastAsia="宋体" w:cs="Helvetica"/>
          <w:color w:val="auto"/>
          <w:kern w:val="0"/>
          <w:sz w:val="18"/>
          <w:szCs w:val="18"/>
        </w:rPr>
        <w:t>不</w:t>
      </w:r>
      <w:r>
        <w:rPr>
          <w:rFonts w:ascii="Helvetica" w:hAnsi="Helvetica" w:eastAsia="宋体" w:cs="Helvetica"/>
          <w:color w:val="auto"/>
          <w:kern w:val="0"/>
          <w:sz w:val="18"/>
          <w:szCs w:val="18"/>
        </w:rPr>
        <w:t>具有良好的商业信誉，无违法、违纪或重大法律纠纷情况：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1）投标人及其投标产品的制造商未被“国家企业信用信息公示系统”网站（www.gsxt.gov.cn）列入严重违法失信企业名单，投标人及其投标产品的制造商须提供相关网页截图；</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2）投标人及其投标产品的制造商、及双方法定代表人或者负责人未被人民法院在“信用中国”网站（www.creditchina.gov.cn）列入失信被执行人，投标人及其投标产品的制造商须提供相关网页截图；</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投标人及其投标产品的制造商、及双方法定代表人或者负责人无行贿犯罪记录、未曾涉及刑事案件、投标截止日前五年内未涉及民事侵权责任纠纷和知识产权与责任纠纷，投标人及其投标产品的制造商须按招标文件给出的格式提供承诺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（3）资格条件3</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投标截止日前三年内，投标人及其投标产品的制造商无因投标产品的质量或安全环保问题被中国石油天然气集团有限公司质量健康安全环保部通报（复查合格的，可予以接受）。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（4）资格条件4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投标截止日前三年内，投标人及其投标产品的制造商未被列入中国寰球工程有限公司北京分公司供应商黑名单，或被列入黑名单但已恢复交易资格。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（5）资格条件5</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投标人须为制造商或代理商（代理商应为投标产品国外品牌对本项目的授权供应商）。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（6）资格条件6</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不接受联合体投标。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（7）资格条件7</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及其投标产品的制造商在最近五年内不得发生严重违约或重大产品质量问题（以相关行业主管部门的行政处罚决定或司法机关出具的有关法律文书为准）。五年的时间认定为自投标截止之日向前追溯五年，以相关行政主管部门或司法、仲裁机构等出具的生效法律文书的落款时间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（8）资格条件8</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投标人及其投标产品的制造商在中国寰球工程有限公司北京分公司有效期内的《合作伙伴合规风险提示清单》中未被建议“不再签署新合同”。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（9）资格条件9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投标人须提供特种设备型式试验证书，涵盖投标产品。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2、制造资质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投标人须提供投标电气产品NEPSI或CQST颁布的防爆证书。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3、业绩要求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投标人所供产品须有自2014年以来至少1个在中国大陆内新建60万吨/年及以上乙烯装置的供货业绩记录，每个供货业绩不得低于10台（传输阀</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清焦阀</w:t>
      </w:r>
      <w:r>
        <w:rPr>
          <w:rFonts w:hint="eastAsia" w:ascii="Helvetica" w:hAnsi="Helvetica" w:eastAsia="宋体" w:cs="Helvetica"/>
          <w:color w:val="auto"/>
          <w:kern w:val="0"/>
          <w:sz w:val="18"/>
          <w:szCs w:val="18"/>
        </w:rPr>
        <w:t>和</w:t>
      </w:r>
      <w:r>
        <w:rPr>
          <w:rFonts w:ascii="Helvetica" w:hAnsi="Helvetica" w:eastAsia="宋体" w:cs="Helvetica"/>
          <w:color w:val="auto"/>
          <w:kern w:val="0"/>
          <w:sz w:val="18"/>
          <w:szCs w:val="18"/>
        </w:rPr>
        <w:t>传输阀</w:t>
      </w:r>
      <w:r>
        <w:rPr>
          <w:rFonts w:ascii="Helvetica" w:hAnsi="Helvetica" w:eastAsia="宋体" w:cs="Helvetica"/>
          <w:color w:val="auto"/>
          <w:kern w:val="0"/>
          <w:sz w:val="18"/>
          <w:szCs w:val="18"/>
        </w:rPr>
        <w:t>各5台），供货产品中尺寸不得低于36寸（传输阀）和24寸（清焦阀）。</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投标人只有提供最终用户业绩证明或供货合同复印件，方视为有效业绩。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业绩表应包括所供项目名称、合同号、所供产品名称、材质及型号规格、数量、合同签订时间、用户名称、用户联系人及联系电话，供招标人核实。业绩表中供货数量仅指与本次招标货物一致的物资，如合同还包含其他物资，则业绩表中相应数量应需剔除，否则，该项业绩无效。框架协议和战略协议不属于有效供货业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业绩证明资料为合同关键页复印件【封皮、分项供货清单、双方盖章页】。如果合同文件中无法体现符合业绩要求的招标物资的特征，还需提供相应的技术要求或技术协议。</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4、失信惩戒</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根据《中国石油天然气集团有限公司投标人失信行为管理办法》的规定：</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若8≤投标人的累计失信分≤10分，将暂停投标人的投标资格。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1）失信分达到8分时，暂停投标人的投标资格半年；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2）失信分达到9分时，暂停投标人的投标资格一年；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3）失信分达到10分时，暂停投标人的投标资格两年；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4）暂停期间再次发生失信行为的，取消投标资格三年。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投标人处于暂停投标资格状态时，其投标将被否决。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投标人的累计失信分＞10分，将取消投标人的投标资格。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投标人处于取消投标资格状态时，其投标将被否决。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投标人失信分以开标当日中国石油招标投标网发布的失信行为信息为准。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受到惩戒的法定代表人（或负责人）、委托代理人、项目经理等自然人在其他法人或组织任法定代表人（或负责人）、委托代理人、项目经理的，该法人或组织参与集团公司及所属企业投标将受到等同惩戒。。</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3.4根据所报2022年经会计师事务所审计的财务报告测算，投标人为资不抵债的，投标将被否决。未提供或未按要求提供或数据不清楚的投标将被否决。</w:t>
      </w:r>
    </w:p>
    <w:p>
      <w:pPr>
        <w:widowControl/>
        <w:spacing w:before="100" w:beforeAutospacing="1" w:after="100" w:afterAutospacing="1"/>
        <w:jc w:val="left"/>
        <w:rPr>
          <w:rFonts w:ascii="Helvetica" w:hAnsi="Helvetica" w:eastAsia="宋体" w:cs="Helvetica"/>
          <w:color w:val="auto"/>
          <w:kern w:val="0"/>
          <w:sz w:val="18"/>
          <w:szCs w:val="18"/>
        </w:rPr>
      </w:pPr>
      <w:bookmarkStart w:id="35" w:name="_Toc11317"/>
      <w:bookmarkEnd w:id="35"/>
      <w:r>
        <w:rPr>
          <w:rFonts w:ascii="Helvetica" w:hAnsi="Helvetica" w:eastAsia="宋体" w:cs="Helvetica"/>
          <w:color w:val="auto"/>
          <w:kern w:val="0"/>
          <w:sz w:val="18"/>
          <w:szCs w:val="18"/>
        </w:rPr>
        <w:t>4. 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4.1凡有意参加投标的潜在投标人，请于2024年4月4日09时至2024年4月11日16时，登录  中国石油电子招标投标平台下载电子招标文件。</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登录“中国石油招标投标网”，进入中国石油电子招标投标平台在线报名，如未在中国石油电子招标投标平台上注册过的潜在投标人需要先注册并通过平台审核，审核通过后登录平台在“可报名项目”中可找到本项目并完成在线报名。</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潜在投标人报名成功后，须使用该交易平台缴费模块进行招标文件缴费，缴费成功后系统将自动开启招标文件下载权限。缴费与招标文件下载方式见招标公告附件2：购买和下载招标文件操作步骤。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此次采购招标项目为全流程网上操作，投标人需要使用中国石油电子招标投标平台的U-key才能完成投标工作，因此要求所有参与本次采购招标的投标人必须办理U-key（具体操作请参考中国石油招标投标网首页----操作指南---《关于招标平台U-KEY办理和信息注册维护通知》）。其他具体操作请参考中国石油招标投标网操作指南中“投标人用户手册”的相关章节，有关注册、报名等交易平台的操作问题也可咨询技术支持团队相关人员，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4.2招标文件每套售价为</w:t>
      </w:r>
      <w:r>
        <w:rPr>
          <w:rFonts w:ascii="Helvetica" w:hAnsi="Helvetica" w:eastAsia="宋体" w:cs="Helvetica"/>
          <w:color w:val="auto"/>
          <w:kern w:val="0"/>
          <w:sz w:val="18"/>
          <w:szCs w:val="18"/>
          <w:u w:val="single"/>
        </w:rPr>
        <w:t>200</w:t>
      </w:r>
      <w:r>
        <w:rPr>
          <w:rFonts w:ascii="Helvetica" w:hAnsi="Helvetica" w:eastAsia="宋体" w:cs="Helvetica"/>
          <w:color w:val="auto"/>
          <w:kern w:val="0"/>
          <w:sz w:val="18"/>
          <w:szCs w:val="18"/>
        </w:rPr>
        <w:t>元人民币，请有意参加投标的潜在投标人确认自身资格条件是否满足要求，售后不退，应自负其责。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4.3本次招标文件采取线上发售的方式。潜在投标人在4.1规定的时间内完成4.1规定的工作后，可登录中国石油电子招标投标平台下载招标文件。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4.4请潜在投标人填写本招标公告附件1：购买招标文件登记表，将该表的可编辑版和签字盖章的PDF扫描件一并通过邮件发给招标机构联系人。</w:t>
      </w:r>
    </w:p>
    <w:p>
      <w:pPr>
        <w:widowControl/>
        <w:spacing w:before="100" w:beforeAutospacing="1" w:after="100" w:afterAutospacing="1"/>
        <w:jc w:val="left"/>
        <w:rPr>
          <w:rFonts w:ascii="Helvetica" w:hAnsi="Helvetica" w:eastAsia="宋体" w:cs="Helvetica"/>
          <w:color w:val="auto"/>
          <w:kern w:val="0"/>
          <w:sz w:val="18"/>
          <w:szCs w:val="18"/>
        </w:rPr>
      </w:pPr>
      <w:bookmarkStart w:id="36" w:name="_Toc24904"/>
      <w:bookmarkEnd w:id="36"/>
      <w:bookmarkStart w:id="37" w:name="_Toc3032"/>
      <w:bookmarkEnd w:id="37"/>
      <w:bookmarkStart w:id="38" w:name="_Toc20658"/>
      <w:bookmarkEnd w:id="38"/>
      <w:bookmarkStart w:id="39" w:name="_Toc3866"/>
      <w:bookmarkEnd w:id="39"/>
      <w:bookmarkStart w:id="40" w:name="_Toc9277"/>
      <w:bookmarkEnd w:id="40"/>
      <w:bookmarkStart w:id="41" w:name="_Toc530144923"/>
      <w:bookmarkEnd w:id="41"/>
      <w:bookmarkStart w:id="42" w:name="_Toc19843"/>
      <w:bookmarkEnd w:id="42"/>
      <w:bookmarkStart w:id="43" w:name="_Toc26163"/>
      <w:bookmarkEnd w:id="43"/>
      <w:bookmarkStart w:id="44" w:name="_Toc6916"/>
      <w:r>
        <w:rPr>
          <w:rFonts w:ascii="Helvetica" w:hAnsi="Helvetica" w:eastAsia="宋体" w:cs="Helvetica"/>
          <w:color w:val="auto"/>
          <w:kern w:val="0"/>
          <w:sz w:val="18"/>
          <w:szCs w:val="18"/>
        </w:rPr>
        <w:t>5. 投标文件的递交</w:t>
      </w:r>
      <w:bookmarkEnd w:id="44"/>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5.1本次招标采取网上递交电子投标文件的投标方式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5.1.1网上电子投标文件递交：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在5.2规定的投标截止时间前通过“中国石油电子招标投标平台”递交电子投标文件；（为避免受网速及网站技术支持工作时间的影响，建议于投标截止时间前24小时完成网上电子投标文件的递交。）投标截止时间前未被系统成功传送的电子投标文件将不被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5.1.2潜在投标人应在投标截止时间前提交</w:t>
      </w:r>
      <w:r>
        <w:rPr>
          <w:rFonts w:ascii="Helvetica" w:hAnsi="Helvetica" w:eastAsia="宋体" w:cs="Helvetica"/>
          <w:color w:val="auto"/>
          <w:kern w:val="0"/>
          <w:sz w:val="18"/>
          <w:szCs w:val="18"/>
          <w:u w:val="single"/>
        </w:rPr>
        <w:t>  560000  </w:t>
      </w:r>
      <w:r>
        <w:rPr>
          <w:rFonts w:ascii="Helvetica" w:hAnsi="Helvetica" w:eastAsia="宋体" w:cs="Helvetica"/>
          <w:color w:val="auto"/>
          <w:kern w:val="0"/>
          <w:sz w:val="18"/>
          <w:szCs w:val="18"/>
        </w:rPr>
        <w:t>元人民币的投标保证金。</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投标保证金形式：电汇（不接受其他形式）；</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投标人应从基本账户通过企业网银或电汇形式向昆仑银行支付投标保证金，并按照招标文件要求，在开标时间前将相应额度的资金提交（分配）至对应标段（包），支付成功后该标段的保证金购买状态将由未付款变为已付款。具体办理流程参见招标公告附件3：投标保证金递交流程。投标保证金账户信息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开户行名称：昆仑银行股份有限公司大庆分行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开户行行号：313265010019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账户名称：昆仑银行电子招投标保证金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银行账号：26902100171850000010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昆仑银行客服电话：95379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提醒：如您是第一次向昆仑银行递交投标保证金，请您至少提前5天打款，打款之后务必核实是否打款成功，同时与项目负责人确认是否成功递交保证金，避免出现因信息不同步等原因导致保证金无法递交的情况。如出现以上问题，请及时致电4008800114（接通后，请根据语音提示选择“电子招标平台”） 进行解决。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5.2投标截止时间及开标时间（网上开标）：2024年4月29日08时45分（北京时间）。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5.3开标地点（网上开标）：中国石油电子招标投标平台（所有投标人可登录中国石油电子招标投标平台在线参加开标仪式）。</w:t>
      </w:r>
    </w:p>
    <w:p>
      <w:pPr>
        <w:widowControl/>
        <w:spacing w:before="100" w:beforeAutospacing="1" w:after="100" w:afterAutospacing="1"/>
        <w:jc w:val="left"/>
        <w:rPr>
          <w:rFonts w:ascii="Helvetica" w:hAnsi="Helvetica" w:eastAsia="宋体" w:cs="Helvetica"/>
          <w:color w:val="auto"/>
          <w:kern w:val="0"/>
          <w:sz w:val="18"/>
          <w:szCs w:val="18"/>
        </w:rPr>
      </w:pPr>
      <w:bookmarkStart w:id="45" w:name="_Toc4554"/>
      <w:bookmarkEnd w:id="45"/>
      <w:bookmarkStart w:id="46" w:name="_Toc15544"/>
      <w:bookmarkEnd w:id="46"/>
      <w:bookmarkStart w:id="47" w:name="_Toc530144924"/>
      <w:bookmarkEnd w:id="47"/>
      <w:bookmarkStart w:id="48" w:name="_Toc4444"/>
      <w:bookmarkEnd w:id="48"/>
      <w:bookmarkStart w:id="49" w:name="_Toc31781"/>
      <w:bookmarkEnd w:id="49"/>
      <w:bookmarkStart w:id="50" w:name="_Toc30893"/>
      <w:bookmarkEnd w:id="50"/>
      <w:bookmarkStart w:id="51" w:name="_Toc29528"/>
      <w:bookmarkEnd w:id="51"/>
      <w:bookmarkStart w:id="52" w:name="_Toc18318"/>
      <w:bookmarkEnd w:id="52"/>
      <w:bookmarkStart w:id="53" w:name="_Toc8324"/>
      <w:r>
        <w:rPr>
          <w:rFonts w:ascii="Helvetica" w:hAnsi="Helvetica" w:eastAsia="宋体" w:cs="Helvetica"/>
          <w:color w:val="auto"/>
          <w:kern w:val="0"/>
          <w:sz w:val="18"/>
          <w:szCs w:val="18"/>
        </w:rPr>
        <w:t>6. 发布公告的媒介</w:t>
      </w:r>
      <w:bookmarkEnd w:id="53"/>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本次招标公告同时在中国招标投标公共服务平台（http://www.cebpubservice.com）和中国石油招标投标网(</w:t>
      </w:r>
      <w:r>
        <w:rPr>
          <w:color w:val="auto"/>
        </w:rPr>
        <w:fldChar w:fldCharType="begin"/>
      </w:r>
      <w:r>
        <w:rPr>
          <w:color w:val="auto"/>
        </w:rPr>
        <w:instrText xml:space="preserve"> HYPERLINK "http://www.cnpcbidding.com/" </w:instrText>
      </w:r>
      <w:r>
        <w:rPr>
          <w:color w:val="auto"/>
        </w:rPr>
        <w:fldChar w:fldCharType="separate"/>
      </w:r>
      <w:r>
        <w:rPr>
          <w:rFonts w:ascii="Helvetica" w:hAnsi="Helvetica" w:eastAsia="宋体" w:cs="Helvetica"/>
          <w:color w:val="auto"/>
          <w:kern w:val="0"/>
          <w:sz w:val="18"/>
          <w:szCs w:val="18"/>
          <w:u w:val="single"/>
        </w:rPr>
        <w:t>http://www.cnpcbidding.com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)上发布。</w:t>
      </w:r>
    </w:p>
    <w:p>
      <w:pPr>
        <w:widowControl/>
        <w:spacing w:before="100" w:beforeAutospacing="1" w:after="100" w:afterAutospacing="1"/>
        <w:jc w:val="left"/>
        <w:rPr>
          <w:rFonts w:ascii="Helvetica" w:hAnsi="Helvetica" w:eastAsia="宋体" w:cs="Helvetica"/>
          <w:color w:val="auto"/>
          <w:kern w:val="0"/>
          <w:sz w:val="18"/>
          <w:szCs w:val="18"/>
        </w:rPr>
      </w:pPr>
      <w:bookmarkStart w:id="54" w:name="_Toc11385"/>
      <w:bookmarkEnd w:id="54"/>
      <w:bookmarkStart w:id="55" w:name="_Toc17461"/>
      <w:bookmarkEnd w:id="55"/>
      <w:bookmarkStart w:id="56" w:name="_Toc10467"/>
      <w:bookmarkEnd w:id="56"/>
      <w:bookmarkStart w:id="57" w:name="_Toc26085"/>
      <w:bookmarkEnd w:id="57"/>
      <w:bookmarkStart w:id="58" w:name="_Toc22293"/>
      <w:bookmarkEnd w:id="58"/>
      <w:bookmarkStart w:id="59" w:name="_Toc530144925"/>
      <w:bookmarkEnd w:id="59"/>
      <w:bookmarkStart w:id="60" w:name="_Toc18547"/>
      <w:bookmarkEnd w:id="60"/>
      <w:bookmarkStart w:id="61" w:name="_Toc14352"/>
      <w:bookmarkEnd w:id="61"/>
      <w:bookmarkStart w:id="62" w:name="_Toc32426"/>
      <w:r>
        <w:rPr>
          <w:rFonts w:ascii="Helvetica" w:hAnsi="Helvetica" w:eastAsia="宋体" w:cs="Helvetica"/>
          <w:color w:val="auto"/>
          <w:kern w:val="0"/>
          <w:sz w:val="18"/>
          <w:szCs w:val="18"/>
        </w:rPr>
        <w:t>7. </w:t>
      </w:r>
      <w:bookmarkEnd w:id="62"/>
      <w:r>
        <w:rPr>
          <w:rFonts w:ascii="Helvetica" w:hAnsi="Helvetica" w:eastAsia="宋体" w:cs="Helvetica"/>
          <w:color w:val="auto"/>
          <w:kern w:val="0"/>
          <w:sz w:val="18"/>
          <w:szCs w:val="18"/>
        </w:rPr>
        <w:t>联系方式</w:t>
      </w:r>
    </w:p>
    <w:tbl>
      <w:tblPr>
        <w:tblStyle w:val="3"/>
        <w:tblW w:w="0" w:type="auto"/>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326"/>
        <w:gridCol w:w="4160"/>
      </w:tblGrid>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749"/>
              <w:jc w:val="left"/>
              <w:rPr>
                <w:rFonts w:ascii="宋体" w:hAnsi="宋体" w:eastAsia="宋体" w:cs="宋体"/>
                <w:color w:val="auto"/>
                <w:kern w:val="0"/>
                <w:sz w:val="24"/>
                <w:szCs w:val="24"/>
              </w:rPr>
            </w:pPr>
            <w:r>
              <w:rPr>
                <w:rFonts w:ascii="宋体" w:hAnsi="宋体" w:eastAsia="宋体" w:cs="宋体"/>
                <w:color w:val="auto"/>
                <w:kern w:val="0"/>
                <w:sz w:val="24"/>
                <w:szCs w:val="24"/>
              </w:rPr>
              <w:t>招 标 人：</w:t>
            </w:r>
            <w:r>
              <w:rPr>
                <w:rFonts w:ascii="宋体" w:hAnsi="宋体" w:eastAsia="宋体" w:cs="宋体"/>
                <w:color w:val="auto"/>
                <w:kern w:val="0"/>
                <w:sz w:val="24"/>
                <w:szCs w:val="24"/>
                <w:u w:val="single"/>
              </w:rPr>
              <w:t>中国寰球工程有限公司</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27"/>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w:t>
            </w:r>
            <w:r>
              <w:rPr>
                <w:rFonts w:ascii="宋体" w:hAnsi="宋体" w:eastAsia="宋体" w:cs="宋体"/>
                <w:color w:val="auto"/>
                <w:kern w:val="0"/>
                <w:sz w:val="24"/>
                <w:szCs w:val="24"/>
                <w:u w:val="single"/>
              </w:rPr>
              <w:t>中国寰球工程有限公司招标中心北京公司分中心 </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665"/>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北京市朝阳区来广营乡高科技产业园创达二路1号</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665"/>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北京市朝阳区来广营乡高科技产业园创达二路1号</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w:t>
            </w:r>
            <w:r>
              <w:rPr>
                <w:rFonts w:ascii="宋体" w:hAnsi="宋体" w:eastAsia="宋体" w:cs="宋体"/>
                <w:color w:val="auto"/>
                <w:kern w:val="0"/>
                <w:sz w:val="24"/>
                <w:szCs w:val="24"/>
                <w:u w:val="single"/>
              </w:rPr>
              <w:t>100012              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w:t>
            </w:r>
            <w:r>
              <w:rPr>
                <w:rFonts w:ascii="宋体" w:hAnsi="宋体" w:eastAsia="宋体" w:cs="宋体"/>
                <w:color w:val="auto"/>
                <w:kern w:val="0"/>
                <w:sz w:val="24"/>
                <w:szCs w:val="24"/>
                <w:u w:val="single"/>
              </w:rPr>
              <w:t>100012                     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w:t>
            </w:r>
            <w:r>
              <w:rPr>
                <w:rFonts w:ascii="宋体" w:hAnsi="宋体" w:eastAsia="宋体" w:cs="宋体"/>
                <w:color w:val="auto"/>
                <w:kern w:val="0"/>
                <w:sz w:val="24"/>
                <w:szCs w:val="24"/>
                <w:u w:val="single"/>
              </w:rPr>
              <w:t>梁磊</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w:t>
            </w:r>
            <w:r>
              <w:rPr>
                <w:rFonts w:ascii="宋体" w:hAnsi="宋体" w:eastAsia="宋体" w:cs="宋体"/>
                <w:color w:val="auto"/>
                <w:kern w:val="0"/>
                <w:sz w:val="24"/>
                <w:szCs w:val="24"/>
                <w:u w:val="single"/>
              </w:rPr>
              <w:t>010-61918461</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color w:val="auto"/>
              </w:rPr>
              <w:fldChar w:fldCharType="begin"/>
            </w:r>
            <w:r>
              <w:rPr>
                <w:color w:val="auto"/>
              </w:rPr>
              <w:instrText xml:space="preserve"> HYPERLINK "mailto:liruonan-hqc@cnpc.com.cn" </w:instrText>
            </w:r>
            <w:r>
              <w:rPr>
                <w:color w:val="auto"/>
              </w:rPr>
              <w:fldChar w:fldCharType="separate"/>
            </w:r>
            <w:r>
              <w:rPr>
                <w:rFonts w:ascii="宋体" w:hAnsi="宋体" w:eastAsia="宋体" w:cs="宋体"/>
                <w:color w:val="auto"/>
                <w:kern w:val="0"/>
                <w:sz w:val="24"/>
                <w:szCs w:val="24"/>
                <w:u w:val="single"/>
              </w:rPr>
              <w:t>lianglei-hqc@cnpc.com.cn</w:t>
            </w:r>
            <w:r>
              <w:rPr>
                <w:rFonts w:ascii="宋体" w:hAnsi="宋体" w:eastAsia="宋体" w:cs="宋体"/>
                <w:color w:val="auto"/>
                <w:kern w:val="0"/>
                <w:sz w:val="24"/>
                <w:szCs w:val="24"/>
                <w:u w:val="single"/>
              </w:rPr>
              <w:fldChar w:fldCharType="end"/>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749"/>
              <w:jc w:val="left"/>
              <w:rPr>
                <w:rFonts w:ascii="宋体" w:hAnsi="宋体" w:eastAsia="宋体" w:cs="宋体"/>
                <w:color w:val="auto"/>
                <w:kern w:val="0"/>
                <w:sz w:val="24"/>
                <w:szCs w:val="24"/>
              </w:rPr>
            </w:pPr>
            <w:r>
              <w:rPr>
                <w:rFonts w:ascii="宋体" w:hAnsi="宋体" w:eastAsia="宋体" w:cs="宋体"/>
                <w:color w:val="auto"/>
                <w:kern w:val="0"/>
                <w:sz w:val="24"/>
                <w:szCs w:val="24"/>
              </w:rPr>
              <w:t>开户银行：</w:t>
            </w:r>
            <w:r>
              <w:rPr>
                <w:rFonts w:ascii="宋体" w:hAnsi="宋体" w:eastAsia="宋体" w:cs="宋体"/>
                <w:color w:val="auto"/>
                <w:kern w:val="0"/>
                <w:sz w:val="24"/>
                <w:szCs w:val="24"/>
                <w:u w:val="single"/>
              </w:rPr>
              <w:t>中国工商银行股份有限公</w:t>
            </w:r>
            <w:r>
              <w:rPr>
                <w:rFonts w:ascii="宋体" w:hAnsi="宋体" w:eastAsia="宋体" w:cs="宋体"/>
                <w:color w:val="auto"/>
                <w:kern w:val="0"/>
                <w:sz w:val="24"/>
                <w:szCs w:val="24"/>
              </w:rPr>
              <w:t> </w:t>
            </w:r>
            <w:r>
              <w:rPr>
                <w:rFonts w:ascii="宋体" w:hAnsi="宋体" w:eastAsia="宋体" w:cs="宋体"/>
                <w:color w:val="auto"/>
                <w:kern w:val="0"/>
                <w:sz w:val="24"/>
                <w:szCs w:val="24"/>
                <w:u w:val="single"/>
              </w:rPr>
              <w:t>司北京香河园支行</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54"/>
              <w:jc w:val="left"/>
              <w:rPr>
                <w:rFonts w:ascii="宋体" w:hAnsi="宋体" w:eastAsia="宋体" w:cs="宋体"/>
                <w:color w:val="auto"/>
                <w:kern w:val="0"/>
                <w:sz w:val="24"/>
                <w:szCs w:val="24"/>
              </w:rPr>
            </w:pPr>
            <w:r>
              <w:rPr>
                <w:rFonts w:ascii="宋体" w:hAnsi="宋体" w:eastAsia="宋体" w:cs="宋体"/>
                <w:color w:val="auto"/>
                <w:kern w:val="0"/>
                <w:sz w:val="24"/>
                <w:szCs w:val="24"/>
              </w:rPr>
              <w:t>开户银行：</w:t>
            </w:r>
            <w:r>
              <w:rPr>
                <w:rFonts w:ascii="宋体" w:hAnsi="宋体" w:eastAsia="宋体" w:cs="宋体"/>
                <w:color w:val="auto"/>
                <w:kern w:val="0"/>
                <w:sz w:val="24"/>
                <w:szCs w:val="24"/>
                <w:u w:val="single"/>
              </w:rPr>
              <w:t>中国工商银行股份有限公司北京香河园支行</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账    号：</w:t>
            </w:r>
            <w:r>
              <w:rPr>
                <w:rFonts w:ascii="宋体" w:hAnsi="宋体" w:eastAsia="宋体" w:cs="宋体"/>
                <w:color w:val="auto"/>
                <w:kern w:val="0"/>
                <w:sz w:val="24"/>
                <w:szCs w:val="24"/>
                <w:u w:val="single"/>
              </w:rPr>
              <w:t>0200019109000176830</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账    号：</w:t>
            </w:r>
            <w:r>
              <w:rPr>
                <w:rFonts w:ascii="宋体" w:hAnsi="宋体" w:eastAsia="宋体" w:cs="宋体"/>
                <w:color w:val="auto"/>
                <w:kern w:val="0"/>
                <w:sz w:val="24"/>
                <w:szCs w:val="24"/>
                <w:u w:val="single"/>
              </w:rPr>
              <w:t>0200019109000176830</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行 号：</w:t>
            </w:r>
            <w:r>
              <w:rPr>
                <w:rFonts w:ascii="宋体" w:hAnsi="宋体" w:eastAsia="宋体" w:cs="宋体"/>
                <w:color w:val="auto"/>
                <w:kern w:val="0"/>
                <w:sz w:val="24"/>
                <w:szCs w:val="24"/>
                <w:u w:val="single"/>
              </w:rPr>
              <w:t>102100001910         </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行 号：</w:t>
            </w:r>
            <w:r>
              <w:rPr>
                <w:rFonts w:ascii="宋体" w:hAnsi="宋体" w:eastAsia="宋体" w:cs="宋体"/>
                <w:color w:val="auto"/>
                <w:kern w:val="0"/>
                <w:sz w:val="24"/>
                <w:szCs w:val="24"/>
                <w:u w:val="single"/>
              </w:rPr>
              <w:t>102100001910              </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备用联系人：电    话：电子邮件：</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bl>
    <w:p>
      <w:pPr>
        <w:rPr>
          <w:color w:val="auto"/>
        </w:rPr>
      </w:pPr>
    </w:p>
    <w:bookmarkEnd w:id="6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EE7802"/>
    <w:rsid w:val="009D0262"/>
    <w:rsid w:val="00BB3D51"/>
    <w:rsid w:val="00EE7802"/>
    <w:rsid w:val="00F92743"/>
    <w:rsid w:val="00FB71DD"/>
    <w:rsid w:val="00FC120B"/>
    <w:rsid w:val="0E1B7BC9"/>
    <w:rsid w:val="BFE6C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748</Words>
  <Characters>4268</Characters>
  <Lines>35</Lines>
  <Paragraphs>10</Paragraphs>
  <TotalTime>6</TotalTime>
  <ScaleCrop>false</ScaleCrop>
  <LinksUpToDate>false</LinksUpToDate>
  <CharactersWithSpaces>5006</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2024-05-10T22:05:00Z</dcterms:created>
  <dc:creator>梓义 杜</dc:creator>
  <cp:lastModifiedBy>小灰灰</cp:lastModifiedBy>
  <dcterms:modified xsi:type="dcterms:W3CDTF">2024-07-10T10:44:26Z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C2871D0746A34C06B2CFA628F7D433CC_12</vt:lpwstr>
  </property>
</Properties>
</file>