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影视行业行业动态：后续电影档期展望，复苏已变新成长</w:t>
      </w:r>
    </w:p>
    <w:p>
      <w:pPr>
        <w:rPr>
          <w:color w:val="auto"/>
        </w:rPr>
      </w:pPr>
      <w:r>
        <w:rPr>
          <w:rFonts w:hint="eastAsia"/>
          <w:color w:val="auto"/>
        </w:rPr>
        <w:t>　　2024年五一档票房超15亿元，同比近乎持平。今年五一档从5月1日至5月5日，档期票房为15.2亿元，同比近乎持平（截至2024年5月5日14时）。复盘历年五一档数据，2021年五一档为历史最佳水平，档期总票房达16.74亿元，其次为2019年和2023年的15.27亿元和15.21亿元。今年五一档票房已然接近历史最好水平。具体数据拆分来看，2024年五一档档期观影人次3543.9万人，同比下降5.97%，档期平均票价为40.40元，同比上升0.07%。重点影片来看，2024年五一档共8部新片上映，《维和防暴队》领跑。五一档期间有8部新片上映，涵盖了动画、动作、爱情、喜剧、悬疑等多种类型。票房表现来看，共有4部影片票房过亿，《维和防暴队》以3.88元的票房位居榜首，票房占比为37%。《末路狂花钱》紧随其后，票房为3.61亿元，票房占比为25.1%。《九龙城寨之围城》票房为2.28亿元，票房占比为15.8%。</w:t>
      </w:r>
    </w:p>
    <w:p>
      <w:pPr>
        <w:rPr>
          <w:color w:val="auto"/>
        </w:rPr>
      </w:pPr>
      <w:r>
        <w:rPr>
          <w:rFonts w:hint="eastAsia"/>
          <w:color w:val="auto"/>
        </w:rPr>
        <w:t>　　五一档下沉趋势进一步凸显。往年五一档二线城市票房占比最高，达45%~50%之间，一三四线次之。2020年之前，一线票房高于三线、四线，2020年之后，三线、四线高于一线。今年五一档，一线、二线、三线城市占比均有下降，其中二线城市下降幅度较大，而四线城市占比提升幅度较大。</w:t>
      </w:r>
    </w:p>
    <w:p>
      <w:pPr>
        <w:rPr>
          <w:color w:val="auto"/>
        </w:rPr>
      </w:pPr>
      <w:r>
        <w:rPr>
          <w:rFonts w:hint="eastAsia"/>
          <w:color w:val="auto"/>
        </w:rPr>
        <w:t>　　暑期档有望带动电影市场进一步上行。暑期档是全年最重要的档期之一，历年暑期档票房占全年票房比在25%上下波动，2023年暑期档达到历年最好水平，档期票房206.3亿元，暑期档占全年票房比达37.54%。2024年年初至今，中国电影总票房已突破200亿元。其中观影人次达4.56亿人，平均票价44元（较2023年全年小幅上升）。今年元旦、春节、清明档期均取得较好成绩，五一档再次取得亮眼表现，展现了用户强劲的观影需求。展望全年，优质影片有望驱动电影市场进一步上行。今年值得关注的重点影片包括《白蛇：浮生》（暑期档）等，其他未定档重要影片包括《小倩》、《哪吒之魔童闹海》、《志愿军2》、《敦煌英雄》、《传说》等。</w:t>
      </w:r>
    </w:p>
    <w:p>
      <w:pPr>
        <w:rPr>
          <w:color w:val="auto"/>
        </w:rPr>
      </w:pPr>
      <w:r>
        <w:rPr>
          <w:rFonts w:hint="eastAsia"/>
          <w:color w:val="auto"/>
        </w:rPr>
        <w:t>　　影投院线格局较稳，2024年万达市占率保持第一。2019年之前，线下影院处于快速扩建期，2020年后影院呈现新建关停并举，绝对数额小幅净增。截至2024年5月55日，营业影院数1.25万家，较2023年下降1.46%，前五影投公司分别为万达、横店、星轶、CGV、金逸，市占率分别为14.3%、3.7%、2.5%、2.1%、2%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建议关注两个方向：1）受益于电影市场基本面改善的标的。其中内容端建议关注有热门影片储备的公司，比如光线传媒（24年储备《哪吒之魔童闹海》、《小倩》等），百纳千成（储备《敦煌英雄》）、博纳影业等。影院端建议关注运营呈边际好转的头部公司，建议关注万达电影、横店影视、上海电影、幸福蓝海等。此外线上渠道票务收入随电影整体票房增长而稳步复苏，建议关注在线票务龙头猫眼娱乐等。2）具有视频版权素材、优质IP储备的公司。随着多模态AI的持续演绎，优质视频语料库具备重要价值，建议关注具有视频版权储备的公司华策影视、捷成股份等。此外AI作为生产工具，其持续迭新有望进一步拓宽IP的变现路径，加速IP价值的释放。建议关注具有优质IP储备的公司上海电影、奥飞娱乐、中文在线、掌阅科技等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风险提示：监管风险、观影需求不及预期风险、电影表现不及预期风险。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36"/>
    <w:rsid w:val="002A1BFB"/>
    <w:rsid w:val="00360836"/>
    <w:rsid w:val="005B4A4D"/>
    <w:rsid w:val="0090190C"/>
    <w:rsid w:val="00A146D3"/>
    <w:rsid w:val="00B55595"/>
    <w:rsid w:val="00D010E7"/>
    <w:rsid w:val="00D072CB"/>
    <w:rsid w:val="00D9274E"/>
    <w:rsid w:val="00E4082D"/>
    <w:rsid w:val="00FF1419"/>
    <w:rsid w:val="7CAF9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1215</Characters>
  <Lines>10</Lines>
  <Paragraphs>2</Paragraphs>
  <TotalTime>4</TotalTime>
  <ScaleCrop>false</ScaleCrop>
  <LinksUpToDate>false</LinksUpToDate>
  <CharactersWithSpaces>1425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2024-05-12T01:31:00Z</dcterms:created>
  <dc:creator>juber z_</dc:creator>
  <cp:lastModifiedBy>小灰灰</cp:lastModifiedBy>
  <dcterms:modified xsi:type="dcterms:W3CDTF">2024-07-10T10:47:40Z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1D5C7604DE613D2A4CF68D66F314B7AA_42</vt:lpwstr>
  </property>
</Properties>
</file>