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auto"/>
        </w:rPr>
      </w:pPr>
      <w:bookmarkStart w:id="0" w:name="_GoBack"/>
      <w:r>
        <w:rPr>
          <w:rFonts w:hint="eastAsia"/>
          <w:color w:val="auto"/>
        </w:rPr>
        <w:t>电力行业</w:t>
      </w:r>
      <w:r>
        <w:rPr>
          <w:color w:val="auto"/>
        </w:rPr>
        <w:t>3月月报：中电联预计上半年用电量增速有望超8%，现货电价环比逐步企稳</w:t>
      </w:r>
    </w:p>
    <w:p>
      <w:pPr>
        <w:rPr>
          <w:color w:val="auto"/>
        </w:rPr>
      </w:pPr>
      <w:r>
        <w:rPr>
          <w:rFonts w:hint="eastAsia"/>
          <w:color w:val="auto"/>
        </w:rPr>
        <w:t>　　本期内容提要:</w:t>
      </w:r>
    </w:p>
    <w:p>
      <w:pPr>
        <w:rPr>
          <w:color w:val="auto"/>
        </w:rPr>
      </w:pPr>
      <w:r>
        <w:rPr>
          <w:rFonts w:hint="eastAsia"/>
          <w:color w:val="auto"/>
        </w:rPr>
        <w:t>　　月度专题点评：电力现货市场推进情况梳理。第一批现货市场试点推进情况：各省进度有所差异，部分省份争相“转正：首批现货试点中，山西和广东现货市场进展较快，分别于2023年12月22日和12月28日转入正式运行，成为目前全国唯二进入正式运行的电力现货市场。山东、甘肃、蒙西是首批试点中的第二梯队，目前均处于长周期连续结算试运行阶段。福建、浙江和四川三省被重点点名，其现货市场试运行仍在推进当中。第二批现货市场试点推进情况：华东华中为主，试运行进展较快。第二批试点的建设进度相较于首批有明显推进。自2021年4月公布名单以来，第二批试点中江苏、安徽、辽宁、湖北、河南等5个地区已完成整月连续结算试运行，上海完成调电试运行工作。其他非试点推进情况：部分省份较为积极，进度追赶试点。非试点省区中，江西成为全国首个开展现货结算的非试点省份。宁夏、河北南网、陕西和重庆等4个地区分别于2023年下半年陆续启动结算试运行。另外，天津、黑龙江、青海、新疆、吉林等省区分别完成了模拟试运行工作。综合来看，部分进度较快的省份已经实现结算试运行，进度已追上前述试点地区。</w:t>
      </w:r>
    </w:p>
    <w:p>
      <w:pPr>
        <w:rPr>
          <w:color w:val="auto"/>
        </w:rPr>
      </w:pPr>
      <w:r>
        <w:rPr>
          <w:rFonts w:hint="eastAsia"/>
          <w:color w:val="auto"/>
        </w:rPr>
        <w:t>　　月度板块及重点上市公司表现：4月电力及公用事业板块上涨1.3%，表现劣于大盘；4月沪深300上涨1.9%到3604.4；涨幅前三的行业分别是家用电器(8.5%)、基础化工(4.5%)、汽车。</w:t>
      </w:r>
    </w:p>
    <w:p>
      <w:pPr>
        <w:rPr>
          <w:color w:val="auto"/>
        </w:rPr>
      </w:pPr>
      <w:r>
        <w:rPr>
          <w:rFonts w:hint="eastAsia"/>
          <w:color w:val="auto"/>
        </w:rPr>
        <w:t>　　月度电力需求情况分析：3月电力消费增速环比有所收窄。2024年31月，全社会用电同比增长7.36%。分行业：居民用电量增速环比大涨，三产用电同比增速略有降低：2024年3月，一、二、三产业用电量同比增速分别为7.03%、4.86%、11.61%，居民用电量同比增长15.83%。分板块：高技术装备制造和消费板块电力消费增速有所收窄，高耗能产业电力消费增速环比提振。分子行业看，高技术装备制造板块中用电量占比前三的为金属制品业、计算机通信设备制造业、电气机械制造业。消费板块中占比前三的为批发和零售业、交通运输、仓储及邮政业和房地产业。六大高耗能板块中占比前三的为电力热力生产及供应业、有色金属冶炼及压延加工业和化学相关制造业。分地区来看，东部沿海省份用电量领先，西部省份用电增速领先。弹性系数方面，2024年一季度电力消费弹性系数为1.84。</w:t>
      </w:r>
    </w:p>
    <w:p>
      <w:pPr>
        <w:rPr>
          <w:color w:val="auto"/>
        </w:rPr>
      </w:pPr>
      <w:r>
        <w:rPr>
          <w:rFonts w:hint="eastAsia"/>
          <w:color w:val="auto"/>
        </w:rPr>
        <w:t>　　月度电力生产情况分析：整体发电增速有所回落，水电发电量持续恢复。2024年3月份，全国发电量增长2.80%。分机组类型看，火电电量同比上涨0.50%；水电电量同比上升3.10%；核电电量同比下降4.80%；风电电量同比上升16.80%；太阳能电量同比增长15.80%。新增装机方面，2024年3月全国总新增装机1671万千瓦，其中新增火电131万千瓦，新增水电78万千瓦，新增风电561万千瓦，新增光伏802万千瓦。发电设备利用方面，2024年3月全国发电设备平均利用小时数844万小时，同比降低2.76%。其中，火电平均利用小时1128小时，同比上升2.83%；水电平均利用小时数555小时，同比上升2.02%；核电平均利用小时数1828小时，同比下降1.93%；风电平均利用小时数596小时，同比降低3.09%；光伏平均利用小时数279小时，同比下降7.92%。煤炭库存情况、日耗情况及三峡出库情况方面，内陆煤炭库存环比上升，日耗环比下降；沿海煤炭库存环比上升，日耗环比上升；三峡水位同比上升，水库蓄水量同比下降。</w:t>
      </w:r>
    </w:p>
    <w:p>
      <w:pPr>
        <w:rPr>
          <w:color w:val="auto"/>
        </w:rPr>
      </w:pPr>
      <w:r>
        <w:rPr>
          <w:rFonts w:hint="eastAsia"/>
          <w:color w:val="auto"/>
        </w:rPr>
        <w:t>　　月度电力市场数据分析：5月代理购电均价同比上涨，环比持续下降。5月月度代理购电均价为403.71元/MWh，环比下降1.13%，同比上升1.26%。广东5月月度交易价格环比持续下跌，4月现货市场电价环比下降明显；山西山东4月现货交易价格环比略有回升。</w:t>
      </w:r>
    </w:p>
    <w:p>
      <w:pPr>
        <w:rPr>
          <w:color w:val="auto"/>
        </w:rPr>
      </w:pPr>
      <w:r>
        <w:rPr>
          <w:rFonts w:hint="eastAsia"/>
          <w:color w:val="auto"/>
        </w:rPr>
        <w:t>　　行业新闻：（1）国家能源局发布关于促进新型储能并网和调度运用；（2）国家能源局综合司公开征求《电力中长期交易基本规则—绿色电力交易专章》意见；（3）中电联预计上半年全社会用电量同比增速略高于8%。</w:t>
      </w:r>
    </w:p>
    <w:p>
      <w:pPr>
        <w:rPr>
          <w:color w:val="auto"/>
        </w:rPr>
      </w:pPr>
      <w:r>
        <w:rPr>
          <w:rFonts w:hint="eastAsia"/>
          <w:color w:val="auto"/>
        </w:rPr>
        <w:t>　　投资观点：我们认为，国内历经多轮电力供需矛盾紧张之后，电力板块有望迎来盈利改善和价值重估。在电力供需矛盾紧张的态势下，煤电顶峰价值凸显；电力市场化改革的持续推进下，电价趋势有望稳中小幅上涨，电力现货市场和辅助服务市场机制有望持续推广，容量电价机制正式出台，明确煤电基石地位。双碳目标下的新型电力系统建设，或将持续依赖系统调节手段的丰富和投入。此外，伴随着发改委加大电煤长协保供力度，电煤长协实际履约率有望边际上升，我们判断煤电企业的成本端较为可控。展望未来，我们认为电力运营商的业绩有望大幅改善。电力运营商有望受益标的：1）全国性煤电龙头：国电电力、华能国际、华电国际等；2）电力供应偏紧的区域龙头：皖能电力、浙能电力、申能股份、粤电力A等；3）水电运营商：长江电力、国投电力、川投能源、华能水电；4）设备制造商和灵活性改造有望受益标的：东方电气、青达环保、华光环能等。</w:t>
      </w:r>
    </w:p>
    <w:p>
      <w:pPr>
        <w:rPr>
          <w:color w:val="auto"/>
        </w:rPr>
      </w:pPr>
      <w:r>
        <w:rPr>
          <w:rFonts w:hint="eastAsia"/>
          <w:color w:val="auto"/>
        </w:rPr>
        <w:t>　　风险因素：宏观经济下滑导致用电量增速不及预期，电力市场化改革推进缓慢，电煤长协保供政策的执行力度不及预期。</w:t>
      </w:r>
    </w:p>
    <w:p>
      <w:pPr>
        <w:rPr>
          <w:color w:val="auto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Hei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A87"/>
    <w:rsid w:val="00057A87"/>
    <w:rsid w:val="00061042"/>
    <w:rsid w:val="002D4D28"/>
    <w:rsid w:val="003E2BF0"/>
    <w:rsid w:val="005C3B16"/>
    <w:rsid w:val="00910E5A"/>
    <w:rsid w:val="00942072"/>
    <w:rsid w:val="00A146D3"/>
    <w:rsid w:val="00AD6585"/>
    <w:rsid w:val="00C37C30"/>
    <w:rsid w:val="00D010E7"/>
    <w:rsid w:val="00D072CB"/>
    <w:rsid w:val="00FF1419"/>
    <w:rsid w:val="76FF7D38"/>
    <w:rsid w:val="FBEE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unhideWhenUsed/>
    <w:qFormat/>
    <w:uiPriority w:val="39"/>
    <w:pPr>
      <w:widowControl/>
      <w:tabs>
        <w:tab w:val="right" w:leader="dot" w:pos="8296"/>
      </w:tabs>
      <w:adjustRightInd w:val="0"/>
      <w:snapToGrid w:val="0"/>
      <w:spacing w:line="360" w:lineRule="auto"/>
      <w:jc w:val="left"/>
    </w:pPr>
    <w:rPr>
      <w:rFonts w:ascii="Times New Roman" w:hAnsi="Times New Roman" w:eastAsia="SimHei" w:cs="Times New Roma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318</Words>
  <Characters>1814</Characters>
  <Lines>15</Lines>
  <Paragraphs>4</Paragraphs>
  <TotalTime>13</TotalTime>
  <ScaleCrop>false</ScaleCrop>
  <LinksUpToDate>false</LinksUpToDate>
  <CharactersWithSpaces>2128</CharactersWithSpaces>
  <Application>WPS Office_6.6.1.8808_F1E327BC-269C-435d-A152-05C5408002CA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2024-05-12T09:22:00Z</dcterms:created>
  <dc:creator>juber z_</dc:creator>
  <cp:lastModifiedBy>小灰灰</cp:lastModifiedBy>
  <dcterms:modified xsi:type="dcterms:W3CDTF">2024-07-10T10:41:43Z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2FEF2A854FFE2FB704F48D668F42771C_42</vt:lpwstr>
  </property>
</Properties>
</file>