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bookmarkStart w:id="0" w:name="_GoBack"/>
      <w:r>
        <w:rPr>
          <w:rFonts w:hint="eastAsia"/>
          <w:color w:val="auto"/>
        </w:rPr>
        <w:t>社会服务：五一黄金周点评</w:t>
      </w:r>
      <w:r>
        <w:rPr>
          <w:color w:val="auto"/>
        </w:rPr>
        <w:t>-国内出行韧性凸显，多重利好推动出境游增长靓丽</w:t>
      </w:r>
    </w:p>
    <w:p>
      <w:pPr>
        <w:rPr>
          <w:color w:val="auto"/>
        </w:rPr>
      </w:pPr>
      <w:r>
        <w:rPr>
          <w:rFonts w:hint="eastAsia"/>
          <w:color w:val="auto"/>
        </w:rPr>
        <w:t>　　事项：</w:t>
      </w:r>
    </w:p>
    <w:p>
      <w:pPr>
        <w:rPr>
          <w:color w:val="auto"/>
        </w:rPr>
      </w:pPr>
      <w:r>
        <w:rPr>
          <w:rFonts w:hint="eastAsia"/>
          <w:color w:val="auto"/>
        </w:rPr>
        <w:t>　　五一黄金周后，交通运输部、各地文旅厅陆续披露旅游数据，部分重点景区等也披露相关数据。</w:t>
      </w:r>
    </w:p>
    <w:p>
      <w:pPr>
        <w:rPr>
          <w:color w:val="auto"/>
        </w:rPr>
      </w:pPr>
      <w:r>
        <w:rPr>
          <w:rFonts w:hint="eastAsia"/>
          <w:color w:val="auto"/>
        </w:rPr>
        <w:t>　　国信社服观点：</w:t>
      </w:r>
    </w:p>
    <w:p>
      <w:pPr>
        <w:rPr>
          <w:color w:val="auto"/>
        </w:rPr>
      </w:pPr>
      <w:r>
        <w:rPr>
          <w:rFonts w:hint="eastAsia"/>
          <w:color w:val="auto"/>
        </w:rPr>
        <w:t>　　1、国内游：五一假期国内出行“量”平稳增长，高基数下出游韧性凸显。根据央视网，5月1日-5日，全社会跨区域人员流动量约13.6亿人次，日均超3.7亿人次，比2019年同期增长24.1%，预计超202年同期，符合官方预测。结构上，下沉旅游订单增速更胜一筹。携程数据显示，假期四线及以下城市旅游预订订单同比增长140%，增幅明显高于一二线城市，低线城市更性价比定位或对国内游“价”有所影响。</w:t>
      </w:r>
    </w:p>
    <w:p>
      <w:pPr>
        <w:rPr>
          <w:color w:val="auto"/>
        </w:rPr>
      </w:pPr>
      <w:r>
        <w:rPr>
          <w:rFonts w:hint="eastAsia"/>
          <w:color w:val="auto"/>
        </w:rPr>
        <w:t>　　2、出入境游：预计客流同比增长超40%，供给恢复、免签及汇率变动为重要推动力。据国家移民管理局预测，今年五一假期全国口岸日均出入境人员较去年同期增长40.5%。我们分析国际航班运力的恢复（从去年五一恢复至3-4提升至今年7-8成）、供给丰富与价格回落（假期广之旅出境游产品数量较去年同比猛增150%，产品价格同比下降10%-20%）、多国免签利好、请三休九的拼假模式（根据广之旅快讯，选择节前出发人数与正日出发人数比例为3:1），均为出境人次恢复提速提供基础。假期广之旅出游人数规模较去年同比增长近7成；携程平台上多个免签目的地的机票预订量已超过2019年。同时随着离岸人民币兑日元汇率的持续增长，去哪儿数据显示假期飞往日本的机票预订量较2019年增长六成以上。</w:t>
      </w:r>
    </w:p>
    <w:p>
      <w:pPr>
        <w:rPr>
          <w:color w:val="auto"/>
        </w:rPr>
      </w:pPr>
      <w:r>
        <w:rPr>
          <w:rFonts w:hint="eastAsia"/>
          <w:color w:val="auto"/>
        </w:rPr>
        <w:t>　　3、子行业：餐饮堂食趋势良好，宋城新项目贡献重要增量，景区中长白山客流增长领先。按子行业整体表现看：1）本地消费：根据美团数据，假期前3天，全国餐饮堂食订单量较去年同期增长73%。海底捞官方数据显示，假期前4天，海底捞全国门店累计接待人次同比去年五一前4天增长约15%，下沉市场门店增长更加明显。2）演艺：五一假期，宋城千古情总场次同比去年五一增长35%+，2019年及以前存量项目总演出场次相对平稳，西安与佛山项目场次仅次于杭州本部。3）景区：五一假期，景区中长白山继续领衔(因天气良好，预计客流增长有望翻倍)，华东区域的九华山、黄山客流增长10%或以上(高铁通车)，其他则因天气和高基数因素预计多数平稳或下滑。4）免税：根据海口海关，假期首日全岛离岛免税销售金额1.15万元，人均消费5384元，整体仍有客单价压力。</w:t>
      </w:r>
    </w:p>
    <w:p>
      <w:pPr>
        <w:rPr>
          <w:color w:val="auto"/>
        </w:rPr>
      </w:pPr>
      <w:r>
        <w:rPr>
          <w:rFonts w:hint="eastAsia"/>
          <w:color w:val="auto"/>
        </w:rPr>
        <w:t>　　4、假期港股行情：五一假期港股延续强势涨幅，5.2-5.3恒生综指、恒生指数、恒生科技涨，社服板块中本地消费服务公司及教育公司相对领涨。</w:t>
      </w:r>
    </w:p>
    <w:p>
      <w:pPr>
        <w:rPr>
          <w:color w:val="auto"/>
        </w:rPr>
      </w:pPr>
      <w:r>
        <w:rPr>
          <w:rFonts w:hint="eastAsia"/>
          <w:color w:val="auto"/>
        </w:rPr>
        <w:t>　　5、投资建议：回补需求过后，今年以来节假日期间服务型消费表现仍相对良好，最新五一长假再次验证出游韧性。其中国内出行在基数不低下实现平稳增长，多重利好推动出境恢复显著提速；同时伴随供给恢复以及需求更追求性价比理性消费，行业价格也逐步常态化回归，这对供给质量和产品的灵活调整提出更高要求。在出行链中，我们短期建议优先配置海底捞、携程集团-S、宋城演艺、同程旅行等；中线优选中国中免、华住集团-S、携程集团-S、美团-W、海底捞、同程旅行、锦江酒店、同庆楼、宋城演艺、百胜中国、九毛九、海南机场、米奥会展、君亭酒店、王府井、峨眉山A、三特索道、黄山旅游、广州酒家、海伦司、天目湖、首旅酒店、中青旅、奈雪的茶等。</w:t>
      </w:r>
    </w:p>
    <w:p>
      <w:pPr>
        <w:rPr>
          <w:color w:val="auto"/>
        </w:rPr>
      </w:pPr>
      <w:r>
        <w:rPr>
          <w:rFonts w:hint="eastAsia"/>
          <w:color w:val="auto"/>
        </w:rPr>
        <w:t>　　6、风险提示：宏观经济波动等系统性风险；国企改革可能低于预期；消费复苏不及预期。</w:t>
      </w:r>
    </w:p>
    <w:p>
      <w:pPr>
        <w:rPr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56"/>
    <w:rsid w:val="00042656"/>
    <w:rsid w:val="00657183"/>
    <w:rsid w:val="00732DAA"/>
    <w:rsid w:val="00A146D3"/>
    <w:rsid w:val="00BD41A1"/>
    <w:rsid w:val="00CC07DB"/>
    <w:rsid w:val="00D010E7"/>
    <w:rsid w:val="00D072CB"/>
    <w:rsid w:val="00D41009"/>
    <w:rsid w:val="00FF1419"/>
    <w:rsid w:val="725D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hAnsi="Times New Roman" w:eastAsia="SimHei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1200</Characters>
  <Lines>10</Lines>
  <Paragraphs>2</Paragraphs>
  <TotalTime>4</TotalTime>
  <ScaleCrop>false</ScaleCrop>
  <LinksUpToDate>false</LinksUpToDate>
  <CharactersWithSpaces>1408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2024-05-12T01:48:00Z</dcterms:created>
  <dc:creator>juber z_</dc:creator>
  <cp:lastModifiedBy>小灰灰</cp:lastModifiedBy>
  <dcterms:modified xsi:type="dcterms:W3CDTF">2024-07-10T10:44:09Z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515BCACB029FA7CA79F58D662B201EDC_42</vt:lpwstr>
  </property>
</Properties>
</file>