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F0F0"/>
        <w:jc w:val="center"/>
        <w:rPr>
          <w:rFonts w:ascii="Helvetica" w:hAnsi="Helvetica" w:eastAsia="宋体" w:cs="Helvetica"/>
          <w:color w:val="auto"/>
          <w:kern w:val="0"/>
          <w:sz w:val="27"/>
          <w:szCs w:val="27"/>
        </w:rPr>
      </w:pPr>
      <w:bookmarkStart w:id="15" w:name="_GoBack"/>
      <w:r>
        <w:rPr>
          <w:rFonts w:ascii="Helvetica" w:hAnsi="Helvetica" w:eastAsia="宋体" w:cs="Helvetica"/>
          <w:color w:val="auto"/>
          <w:kern w:val="0"/>
          <w:sz w:val="27"/>
          <w:szCs w:val="27"/>
        </w:rPr>
        <w:t>西南油气田分公司勘探事业部2024年度溢流监测预警系统技术服务</w:t>
      </w:r>
    </w:p>
    <w:p>
      <w:pPr>
        <w:widowControl/>
        <w:shd w:val="clear" w:color="auto" w:fill="F0F0F0"/>
        <w:jc w:val="center"/>
        <w:rPr>
          <w:rFonts w:ascii="Helvetica" w:hAnsi="Helvetica" w:eastAsia="宋体" w:cs="Helvetica"/>
          <w:color w:val="auto"/>
          <w:kern w:val="0"/>
          <w:sz w:val="27"/>
          <w:szCs w:val="27"/>
        </w:rPr>
      </w:pPr>
      <w:r>
        <w:rPr>
          <w:rFonts w:ascii="Helvetica" w:hAnsi="Helvetica" w:eastAsia="宋体" w:cs="Helvetica"/>
          <w:color w:val="auto"/>
          <w:kern w:val="0"/>
          <w:sz w:val="27"/>
          <w:szCs w:val="27"/>
        </w:rPr>
        <w:t>2024-04-28</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西南油气田分公司勘探事业部2024年度溢流监测预警系统技术服务招标公告</w:t>
      </w:r>
    </w:p>
    <w:p>
      <w:pPr>
        <w:widowControl/>
        <w:spacing w:before="100" w:beforeAutospacing="1" w:after="100" w:afterAutospacing="1"/>
        <w:jc w:val="left"/>
        <w:rPr>
          <w:rFonts w:ascii="Helvetica" w:hAnsi="Helvetica" w:eastAsia="宋体" w:cs="Helvetica"/>
          <w:color w:val="auto"/>
          <w:kern w:val="0"/>
          <w:sz w:val="18"/>
          <w:szCs w:val="18"/>
        </w:rPr>
      </w:pPr>
      <w:bookmarkStart w:id="0" w:name="_Toc20357"/>
      <w:bookmarkEnd w:id="0"/>
      <w:r>
        <w:rPr>
          <w:rFonts w:ascii="Helvetica" w:hAnsi="Helvetica" w:eastAsia="宋体" w:cs="Helvetica"/>
          <w:color w:val="auto"/>
          <w:kern w:val="0"/>
          <w:sz w:val="18"/>
          <w:szCs w:val="18"/>
        </w:rPr>
        <w:t>1. 招标条件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本招标项目</w:t>
      </w:r>
      <w:r>
        <w:rPr>
          <w:rFonts w:ascii="Helvetica" w:hAnsi="Helvetica" w:eastAsia="宋体" w:cs="Helvetica"/>
          <w:color w:val="auto"/>
          <w:kern w:val="0"/>
          <w:sz w:val="18"/>
          <w:szCs w:val="18"/>
          <w:u w:val="single"/>
        </w:rPr>
        <w:t>西南油气田分公司勘探事业部2024年度溢流监测预警系统技术服务</w:t>
      </w:r>
      <w:r>
        <w:rPr>
          <w:rFonts w:ascii="Helvetica" w:hAnsi="Helvetica" w:eastAsia="宋体" w:cs="Helvetica"/>
          <w:color w:val="auto"/>
          <w:kern w:val="0"/>
          <w:sz w:val="18"/>
          <w:szCs w:val="18"/>
        </w:rPr>
        <w:t>已由</w:t>
      </w:r>
      <w:r>
        <w:rPr>
          <w:rFonts w:ascii="Helvetica" w:hAnsi="Helvetica" w:eastAsia="宋体" w:cs="Helvetica"/>
          <w:color w:val="auto"/>
          <w:kern w:val="0"/>
          <w:sz w:val="18"/>
          <w:szCs w:val="18"/>
          <w:u w:val="single"/>
        </w:rPr>
        <w:t>中国石油西南油气田分公司勘探事业部</w:t>
      </w:r>
      <w:r>
        <w:rPr>
          <w:rFonts w:ascii="Helvetica" w:hAnsi="Helvetica" w:eastAsia="宋体" w:cs="Helvetica"/>
          <w:color w:val="auto"/>
          <w:kern w:val="0"/>
          <w:sz w:val="18"/>
          <w:szCs w:val="18"/>
        </w:rPr>
        <w:t>以</w:t>
      </w:r>
      <w:r>
        <w:rPr>
          <w:rFonts w:ascii="Helvetica" w:hAnsi="Helvetica" w:eastAsia="宋体" w:cs="Helvetica"/>
          <w:color w:val="auto"/>
          <w:kern w:val="0"/>
          <w:sz w:val="18"/>
          <w:szCs w:val="18"/>
          <w:u w:val="single"/>
        </w:rPr>
        <w:t>西南司计【2024】9号</w:t>
      </w:r>
      <w:r>
        <w:rPr>
          <w:rFonts w:ascii="Helvetica" w:hAnsi="Helvetica" w:eastAsia="宋体" w:cs="Helvetica"/>
          <w:color w:val="auto"/>
          <w:kern w:val="0"/>
          <w:sz w:val="18"/>
          <w:szCs w:val="18"/>
        </w:rPr>
        <w:t>批准建设，项目业主为</w:t>
      </w:r>
      <w:r>
        <w:rPr>
          <w:rFonts w:ascii="Helvetica" w:hAnsi="Helvetica" w:eastAsia="宋体" w:cs="Helvetica"/>
          <w:color w:val="auto"/>
          <w:kern w:val="0"/>
          <w:sz w:val="18"/>
          <w:szCs w:val="18"/>
          <w:u w:val="single"/>
        </w:rPr>
        <w:t>中国石油西南油气田分公司勘探事业部</w:t>
      </w:r>
      <w:r>
        <w:rPr>
          <w:rFonts w:ascii="Helvetica" w:hAnsi="Helvetica" w:eastAsia="宋体" w:cs="Helvetica"/>
          <w:color w:val="auto"/>
          <w:kern w:val="0"/>
          <w:sz w:val="18"/>
          <w:szCs w:val="18"/>
        </w:rPr>
        <w:t>，建设资金来自</w:t>
      </w:r>
      <w:r>
        <w:rPr>
          <w:rFonts w:ascii="Helvetica" w:hAnsi="Helvetica" w:eastAsia="宋体" w:cs="Helvetica"/>
          <w:color w:val="auto"/>
          <w:kern w:val="0"/>
          <w:sz w:val="18"/>
          <w:szCs w:val="18"/>
          <w:u w:val="single"/>
        </w:rPr>
        <w:t>投资</w:t>
      </w:r>
      <w:r>
        <w:rPr>
          <w:rFonts w:ascii="Helvetica" w:hAnsi="Helvetica" w:eastAsia="宋体" w:cs="Helvetica"/>
          <w:color w:val="auto"/>
          <w:kern w:val="0"/>
          <w:sz w:val="18"/>
          <w:szCs w:val="18"/>
        </w:rPr>
        <w:t>，出资比例为</w:t>
      </w:r>
      <w:r>
        <w:rPr>
          <w:rFonts w:ascii="Helvetica" w:hAnsi="Helvetica" w:eastAsia="宋体" w:cs="Helvetica"/>
          <w:color w:val="auto"/>
          <w:kern w:val="0"/>
          <w:sz w:val="18"/>
          <w:szCs w:val="18"/>
          <w:u w:val="single"/>
        </w:rPr>
        <w:t>100%</w:t>
      </w:r>
      <w:r>
        <w:rPr>
          <w:rFonts w:ascii="Helvetica" w:hAnsi="Helvetica" w:eastAsia="宋体" w:cs="Helvetica"/>
          <w:color w:val="auto"/>
          <w:kern w:val="0"/>
          <w:sz w:val="18"/>
          <w:szCs w:val="18"/>
        </w:rPr>
        <w:t>，招标人为</w:t>
      </w:r>
      <w:r>
        <w:rPr>
          <w:rFonts w:ascii="Helvetica" w:hAnsi="Helvetica" w:eastAsia="宋体" w:cs="Helvetica"/>
          <w:color w:val="auto"/>
          <w:kern w:val="0"/>
          <w:sz w:val="18"/>
          <w:szCs w:val="18"/>
          <w:u w:val="single"/>
        </w:rPr>
        <w:t>中国石油西南油气田分公司勘探事业部</w:t>
      </w:r>
      <w:r>
        <w:rPr>
          <w:rFonts w:ascii="Helvetica" w:hAnsi="Helvetica" w:eastAsia="宋体" w:cs="Helvetica"/>
          <w:color w:val="auto"/>
          <w:kern w:val="0"/>
          <w:sz w:val="18"/>
          <w:szCs w:val="18"/>
        </w:rPr>
        <w:t>。项目已具备招标条件，现对该项目进行公开招标。</w:t>
      </w:r>
    </w:p>
    <w:p>
      <w:pPr>
        <w:widowControl/>
        <w:spacing w:before="100" w:beforeAutospacing="1" w:after="100" w:afterAutospacing="1"/>
        <w:jc w:val="left"/>
        <w:rPr>
          <w:rFonts w:ascii="Helvetica" w:hAnsi="Helvetica" w:eastAsia="宋体" w:cs="Helvetica"/>
          <w:color w:val="auto"/>
          <w:kern w:val="0"/>
          <w:sz w:val="18"/>
          <w:szCs w:val="18"/>
        </w:rPr>
      </w:pPr>
      <w:bookmarkStart w:id="1" w:name="_Toc30215"/>
      <w:bookmarkEnd w:id="1"/>
      <w:r>
        <w:rPr>
          <w:rFonts w:ascii="Helvetica" w:hAnsi="Helvetica" w:eastAsia="宋体" w:cs="Helvetica"/>
          <w:color w:val="auto"/>
          <w:kern w:val="0"/>
          <w:sz w:val="18"/>
          <w:szCs w:val="18"/>
        </w:rPr>
        <w:t>2. 项目概况与招标范围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2.1 招标项目名称：西南油气田分公司勘探事业部2024年度溢流监测预警系统技术服务。</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2.2 项目背景概况：四川盆地压力系统复杂，纵向上油气显示活跃，溢流井漏频繁，面临的井控风险高，及时发现溢流井漏有利于降低压井处置难度。溢流井漏预警技术较常规坐岗和录井监测能够提前发现溢流和井漏，有助于施工现场及时发现并采取措施压井和处理井漏，降低井控作业风险，计划于</w:t>
      </w:r>
      <w:r>
        <w:rPr>
          <w:rFonts w:ascii="Helvetica" w:hAnsi="Helvetica" w:eastAsia="宋体" w:cs="Helvetica"/>
          <w:color w:val="auto"/>
          <w:kern w:val="0"/>
          <w:sz w:val="18"/>
          <w:szCs w:val="18"/>
        </w:rPr>
        <w:t>202</w:t>
      </w:r>
      <w:r>
        <w:rPr>
          <w:rFonts w:hint="eastAsia" w:ascii="Helvetica" w:hAnsi="Helvetica" w:eastAsia="宋体" w:cs="Helvetica"/>
          <w:color w:val="auto"/>
          <w:kern w:val="0"/>
          <w:sz w:val="18"/>
          <w:szCs w:val="18"/>
        </w:rPr>
        <w:t>3</w:t>
      </w:r>
      <w:r>
        <w:rPr>
          <w:rFonts w:ascii="Helvetica" w:hAnsi="Helvetica" w:eastAsia="宋体" w:cs="Helvetica"/>
          <w:color w:val="auto"/>
          <w:kern w:val="0"/>
          <w:sz w:val="18"/>
          <w:szCs w:val="18"/>
        </w:rPr>
        <w:t>年在勘探事业部所属探井范围内井控风险高的层位开展8~10口井钻井溢流井监测预警技术服务，为下步推广远程溢流井漏预警奠定基础。本次招标内容即为钻井溢漏监测预警技术服务，具体实施的井号、井段、监测时间段需根据实际情况确定，服务标准以满足钻井井控安全为原则，每口井服务完成后按工作量据实结算。本项目估算金额848万元（含税）。</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2.3 招标范围：提供钻井溢漏监测预警技术服务：开展监测数据的实时性分析，实现钻井各工况条件下实时溢漏监测并及时预警。本次招标共1个标段。</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2.4 最高投标限价：详见下表，控制价标准基础上，报统一下浮率（单位%），只允许整体下浮，不做分项报价，下浮率为整数，比如下浮：1%、2%、3%等等，否则投标将予以否决。（下浮计算说明：报价=单价*（1-申报下浮率），向下取整（指当计算的结果不为整数时取最临近且小于计算结果的整数））。投标报价不得超过最高投标限价，否则投标将予以否决。</w:t>
      </w:r>
    </w:p>
    <w:tbl>
      <w:tblPr>
        <w:tblStyle w:val="3"/>
        <w:tblW w:w="8235"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645"/>
        <w:gridCol w:w="4395"/>
        <w:gridCol w:w="1725"/>
        <w:gridCol w:w="1470"/>
      </w:tblGrid>
      <w:tr>
        <w:trPr>
          <w:tblCellSpacing w:w="0" w:type="dxa"/>
        </w:trPr>
        <w:tc>
          <w:tcPr>
            <w:tcW w:w="8235" w:type="dxa"/>
            <w:gridSpan w:val="4"/>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b/>
                <w:bCs/>
                <w:color w:val="auto"/>
                <w:kern w:val="0"/>
                <w:sz w:val="24"/>
                <w:szCs w:val="24"/>
              </w:rPr>
              <w:t>钻井溢漏监测预警技术服务控制价</w:t>
            </w:r>
          </w:p>
        </w:tc>
      </w:tr>
      <w:tr>
        <w:trPr>
          <w:tblCellSpacing w:w="0" w:type="dxa"/>
        </w:trPr>
        <w:tc>
          <w:tcPr>
            <w:tcW w:w="6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序号</w:t>
            </w:r>
          </w:p>
        </w:tc>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项目名称</w:t>
            </w:r>
          </w:p>
        </w:tc>
        <w:tc>
          <w:tcPr>
            <w:tcW w:w="17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单位</w:t>
            </w:r>
          </w:p>
        </w:tc>
        <w:tc>
          <w:tcPr>
            <w:tcW w:w="147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控制价</w:t>
            </w:r>
          </w:p>
        </w:tc>
      </w:tr>
      <w:tr>
        <w:trPr>
          <w:tblCellSpacing w:w="0" w:type="dxa"/>
        </w:trPr>
        <w:tc>
          <w:tcPr>
            <w:tcW w:w="6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一</w:t>
            </w:r>
          </w:p>
        </w:tc>
        <w:tc>
          <w:tcPr>
            <w:tcW w:w="7590" w:type="dxa"/>
            <w:gridSpan w:val="3"/>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动迁及拆安费</w:t>
            </w:r>
          </w:p>
        </w:tc>
      </w:tr>
      <w:tr>
        <w:trPr>
          <w:tblCellSpacing w:w="0" w:type="dxa"/>
        </w:trPr>
        <w:tc>
          <w:tcPr>
            <w:tcW w:w="6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w:t>
            </w:r>
          </w:p>
        </w:tc>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设备拆安费（含人员、吊车、安装材料等）</w:t>
            </w:r>
          </w:p>
        </w:tc>
        <w:tc>
          <w:tcPr>
            <w:tcW w:w="17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元/井次</w:t>
            </w:r>
          </w:p>
        </w:tc>
        <w:tc>
          <w:tcPr>
            <w:tcW w:w="147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48777</w:t>
            </w:r>
          </w:p>
        </w:tc>
      </w:tr>
      <w:tr>
        <w:trPr>
          <w:tblCellSpacing w:w="0" w:type="dxa"/>
        </w:trPr>
        <w:tc>
          <w:tcPr>
            <w:tcW w:w="6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w:t>
            </w:r>
          </w:p>
        </w:tc>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设备动迁费</w:t>
            </w:r>
          </w:p>
        </w:tc>
        <w:tc>
          <w:tcPr>
            <w:tcW w:w="17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元/公里</w:t>
            </w:r>
          </w:p>
        </w:tc>
        <w:tc>
          <w:tcPr>
            <w:tcW w:w="147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13</w:t>
            </w:r>
          </w:p>
        </w:tc>
      </w:tr>
      <w:tr>
        <w:trPr>
          <w:tblCellSpacing w:w="0" w:type="dxa"/>
        </w:trPr>
        <w:tc>
          <w:tcPr>
            <w:tcW w:w="6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二</w:t>
            </w:r>
          </w:p>
        </w:tc>
        <w:tc>
          <w:tcPr>
            <w:tcW w:w="7590" w:type="dxa"/>
            <w:gridSpan w:val="3"/>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技术服务费</w:t>
            </w:r>
          </w:p>
        </w:tc>
      </w:tr>
      <w:tr>
        <w:trPr>
          <w:tblCellSpacing w:w="0" w:type="dxa"/>
        </w:trPr>
        <w:tc>
          <w:tcPr>
            <w:tcW w:w="6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w:t>
            </w:r>
          </w:p>
        </w:tc>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作业日费（作业时间≤60天）</w:t>
            </w:r>
          </w:p>
        </w:tc>
        <w:tc>
          <w:tcPr>
            <w:tcW w:w="17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元/天</w:t>
            </w:r>
          </w:p>
        </w:tc>
        <w:tc>
          <w:tcPr>
            <w:tcW w:w="147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8126</w:t>
            </w:r>
          </w:p>
        </w:tc>
      </w:tr>
      <w:tr>
        <w:trPr>
          <w:tblCellSpacing w:w="0" w:type="dxa"/>
        </w:trPr>
        <w:tc>
          <w:tcPr>
            <w:tcW w:w="6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w:t>
            </w:r>
          </w:p>
        </w:tc>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待令日费（作业时间≤60天）</w:t>
            </w:r>
          </w:p>
        </w:tc>
        <w:tc>
          <w:tcPr>
            <w:tcW w:w="17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元/天</w:t>
            </w:r>
          </w:p>
        </w:tc>
        <w:tc>
          <w:tcPr>
            <w:tcW w:w="147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4633</w:t>
            </w:r>
          </w:p>
        </w:tc>
      </w:tr>
      <w:tr>
        <w:trPr>
          <w:tblCellSpacing w:w="0" w:type="dxa"/>
        </w:trPr>
        <w:tc>
          <w:tcPr>
            <w:tcW w:w="6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w:t>
            </w:r>
          </w:p>
        </w:tc>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作业日费（60天&lt;作业时间≤100天）</w:t>
            </w:r>
          </w:p>
        </w:tc>
        <w:tc>
          <w:tcPr>
            <w:tcW w:w="17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元/天</w:t>
            </w:r>
          </w:p>
        </w:tc>
        <w:tc>
          <w:tcPr>
            <w:tcW w:w="147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6907</w:t>
            </w:r>
          </w:p>
        </w:tc>
      </w:tr>
      <w:tr>
        <w:trPr>
          <w:tblCellSpacing w:w="0" w:type="dxa"/>
        </w:trPr>
        <w:tc>
          <w:tcPr>
            <w:tcW w:w="6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w:t>
            </w:r>
          </w:p>
        </w:tc>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待令日费（60天&lt;作业时间≤100天）</w:t>
            </w:r>
          </w:p>
        </w:tc>
        <w:tc>
          <w:tcPr>
            <w:tcW w:w="17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元/天</w:t>
            </w:r>
          </w:p>
        </w:tc>
        <w:tc>
          <w:tcPr>
            <w:tcW w:w="147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3938</w:t>
            </w:r>
          </w:p>
        </w:tc>
      </w:tr>
      <w:tr>
        <w:trPr>
          <w:tblCellSpacing w:w="0" w:type="dxa"/>
        </w:trPr>
        <w:tc>
          <w:tcPr>
            <w:tcW w:w="6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w:t>
            </w:r>
          </w:p>
        </w:tc>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作业日费（100天&lt;作业时间）</w:t>
            </w:r>
          </w:p>
        </w:tc>
        <w:tc>
          <w:tcPr>
            <w:tcW w:w="17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元/天</w:t>
            </w:r>
          </w:p>
        </w:tc>
        <w:tc>
          <w:tcPr>
            <w:tcW w:w="147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5688</w:t>
            </w:r>
          </w:p>
        </w:tc>
      </w:tr>
      <w:tr>
        <w:trPr>
          <w:tblCellSpacing w:w="0" w:type="dxa"/>
        </w:trPr>
        <w:tc>
          <w:tcPr>
            <w:tcW w:w="6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w:t>
            </w:r>
          </w:p>
        </w:tc>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待令日费（100天&lt;作业时间）</w:t>
            </w:r>
          </w:p>
        </w:tc>
        <w:tc>
          <w:tcPr>
            <w:tcW w:w="17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元/天</w:t>
            </w:r>
          </w:p>
        </w:tc>
        <w:tc>
          <w:tcPr>
            <w:tcW w:w="147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3243</w:t>
            </w:r>
          </w:p>
        </w:tc>
      </w:tr>
      <w:tr>
        <w:trPr>
          <w:tblCellSpacing w:w="0" w:type="dxa"/>
        </w:trPr>
        <w:tc>
          <w:tcPr>
            <w:tcW w:w="8235" w:type="dxa"/>
            <w:gridSpan w:val="4"/>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备注：（1）作业及待令时间均为累计时间，日费标准采用阶梯计价</w:t>
            </w:r>
          </w:p>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（2）单井总费用预计为80万元（不含税，以实际工作量为准，不超过100万元）。</w:t>
            </w:r>
          </w:p>
        </w:tc>
      </w:tr>
    </w:tbl>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说明：本控制价为不含税价。</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 服务地点：委托井现场。</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2.6 服务期限：单井工期自甲方委托服务开始至单井服务结束止。</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2.7 服务要求：详见第五章发包人要求。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2.8 定标原则：</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评标委员会根据综合得分对各投标人进行排名，综合得分相同的，价格得分高者排名优先；价格得分相同的，技术得分高者排名优先，若价格得分和技术得分均相同的，依照商务、服务及其他评价内容的分项得分优先次序类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若通过初评，剩余3家及以上投标人符合要求，评标委员会按评标结果推荐前3名为中标候选人，招标人根据中标候选人排序确定排名前2名的中标候选人为中标人；若通过初评，剩余2家投标人符合要求且评标委员会判定具有竞争性，评标委员会按评标结果推荐剩余所有投标人为中标候选人，招标人根据中标候选人排序确定排名前2名的中标候选人为中标人；若通过初评，剩余1家投标人符合要求且评标委员会判定具有竞争性，评标委员会按评标结果推荐剩余投标人为中标候选人，招标人确定该中标候选人为中标人；若没有投标人符合要求或剩余1-2家通过初评但经评标委员会评审认定投标缺乏竞争性的，评标委员会可以否决标段内所有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3）若中标人为2名，原则上排名第1的分配60%左右的工作量，排名第2的分配40%左右的工作量，</w:t>
      </w:r>
      <w:r>
        <w:rPr>
          <w:rFonts w:ascii="Helvetica" w:hAnsi="Helvetica" w:eastAsia="宋体" w:cs="Helvetica"/>
          <w:color w:val="auto"/>
          <w:kern w:val="0"/>
          <w:sz w:val="18"/>
          <w:szCs w:val="18"/>
        </w:rPr>
        <w:t>排名第1的分配60%左右的工作量</w:t>
      </w:r>
      <w:r>
        <w:rPr>
          <w:rFonts w:hint="eastAsia" w:ascii="Helvetica" w:hAnsi="Helvetica" w:eastAsia="宋体" w:cs="Helvetica"/>
          <w:color w:val="auto"/>
          <w:kern w:val="0"/>
          <w:sz w:val="18"/>
          <w:szCs w:val="18"/>
        </w:rPr>
        <w:t>，</w:t>
      </w:r>
      <w:r>
        <w:rPr>
          <w:rFonts w:ascii="Helvetica" w:hAnsi="Helvetica" w:eastAsia="宋体" w:cs="Helvetica"/>
          <w:color w:val="auto"/>
          <w:kern w:val="0"/>
          <w:sz w:val="18"/>
          <w:szCs w:val="18"/>
        </w:rPr>
        <w:t>招标人可根据中标人服务质量情况调整工作量分配。若仅有1名中标人，分配100%工作量，招标人根据实际需求委托。</w:t>
      </w:r>
    </w:p>
    <w:p>
      <w:pPr>
        <w:widowControl/>
        <w:spacing w:before="100" w:beforeAutospacing="1" w:after="100" w:afterAutospacing="1"/>
        <w:jc w:val="left"/>
        <w:rPr>
          <w:rFonts w:ascii="Helvetica" w:hAnsi="Helvetica" w:eastAsia="宋体" w:cs="Helvetica"/>
          <w:color w:val="auto"/>
          <w:kern w:val="0"/>
          <w:sz w:val="18"/>
          <w:szCs w:val="18"/>
        </w:rPr>
      </w:pPr>
      <w:bookmarkStart w:id="2" w:name="_Toc8271"/>
      <w:bookmarkEnd w:id="2"/>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 投标人资格要求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*1.投标人具备并提供合格有效的加载统一社会信用代码的营业执照。若为事业单位投标，提供事业单位法人证书。</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*2.本项目不接受联合体投标、不允许分包。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本项目允许代理商投标，投标人为代理商的，须提供服务商出具的授权证明文件，同一服务商对同一项服务仅能授权一家代理商参加本次投标，出现多家代理商代理同一服务时均将被否决投标。服务商与其针对本项目授权的代理商不得同时参与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*4.人员资格和要求：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4.1现场负责人1名：具有钻井工程相关专业5年及以上工作/服务经历。项目组成员至少2名：具有钻井工程相关专业3年及以上的工作/服务经历。须提供以上所有人员的投标截止前连续6个月投标人为其缴纳社保的证明材料以及工作经历证明材料（形式不限）。</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*4.2承诺入场作业前拟派上井技术服务人员均取得四川石油井控培训中心颁发的有效井控培训合格证和硫化氢防护培训合格证。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*5.书面承诺满足本招标文件第五章“主要技术要求或技术方案”中1、溢漏监测预警系统性能要求。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*6.业绩要求：2021年1月1日至投标截止时间（以合同签订时间为准）已完成不少于1个类似项目。类似项目: 钻井溢流井漏监测预警、自动节流系统预警技术服务，业绩证明材料：提供合同及加盖应用单位公章或应用单位工程管理部门印章的应用证明（注：若为国外业绩，相关证明材料须同时提供外文原件及中文翻译，且内容必须保持一致，评审过程中以中文翻译为准）。投标人提供的有效合同须反映出项目名称、用户名称、联系人及联系方式、服务内容、服务地点、服务期限等内容。</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7.财务要求：投标人需提供投标截止之日前近两年中任意一年经会计师事务所或审计机构审计的财务会计报表，包括资产负债表、现金流量表、利润表等组成审计报告的内容；若为事业单位投标，提供相关财务证明资料。投标人为资不抵债的，投标将被否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*8.信誉要求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*8.1投标人没有处于被责令停业，财产被接管、冻结、破产等状态；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8.2投标人2021年至投标文件递交截止之日无直接影响本项目履约能力的违法、违规不良记录；不良记录包括但不限于以下情形：因涉嫌犯罪被办案机关立案追查、审查起诉、被法院判决有罪；在和招标人历史合同履约中存在因商业欺诈、产品质量问题等实质性侵害招标人权益的行为；被国家、招标人及其上级部门明文规定暂停或取消交易资格；</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*8.3自2021年1月1日至投标截止时间服务过程中：未发生较大及以上质量事故，未发生一般及以上生产安全事故，未发生一般及以上突发环境事件。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*8.4 2021年1月1日至投标截止时间投标人、法定代表人或者负责人、拟委任的项目经理</w:t>
      </w:r>
      <w:r>
        <w:rPr>
          <w:rFonts w:hint="eastAsia" w:ascii="Helvetica" w:hAnsi="Helvetica" w:eastAsia="宋体" w:cs="Helvetica"/>
          <w:color w:val="auto"/>
          <w:kern w:val="0"/>
          <w:sz w:val="18"/>
          <w:szCs w:val="18"/>
        </w:rPr>
        <w:t>有</w:t>
      </w:r>
      <w:r>
        <w:rPr>
          <w:rFonts w:ascii="Helvetica" w:hAnsi="Helvetica" w:eastAsia="宋体" w:cs="Helvetica"/>
          <w:color w:val="auto"/>
          <w:kern w:val="0"/>
          <w:sz w:val="18"/>
          <w:szCs w:val="18"/>
        </w:rPr>
        <w:t>行贿犯罪。</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*8.5投标人在开标当日不得存在以下情形：</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（1）投标人被“国家企业信用信息公示系统”网站（www.gsxt.gov.cn）列入严重违法失信企业名单。</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（2）投标人、法定代表人或者负责人</w:t>
      </w:r>
      <w:r>
        <w:rPr>
          <w:rFonts w:hint="eastAsia" w:ascii="Helvetica" w:hAnsi="Helvetica" w:eastAsia="宋体" w:cs="Helvetica"/>
          <w:color w:val="auto"/>
          <w:kern w:val="0"/>
          <w:sz w:val="18"/>
          <w:szCs w:val="18"/>
        </w:rPr>
        <w:t>没有</w:t>
      </w:r>
      <w:r>
        <w:rPr>
          <w:rFonts w:ascii="Helvetica" w:hAnsi="Helvetica" w:eastAsia="宋体" w:cs="Helvetica"/>
          <w:color w:val="auto"/>
          <w:kern w:val="0"/>
          <w:sz w:val="18"/>
          <w:szCs w:val="18"/>
        </w:rPr>
        <w:t>被人民法院在“信用中国”网站（</w:t>
      </w:r>
      <w:r>
        <w:rPr>
          <w:color w:val="auto"/>
        </w:rPr>
        <w:fldChar w:fldCharType="begin"/>
      </w:r>
      <w:r>
        <w:rPr>
          <w:color w:val="auto"/>
        </w:rPr>
        <w:instrText xml:space="preserve"> HYPERLINK "http://www.creditchina.gov.cn/" </w:instrText>
      </w:r>
      <w:r>
        <w:rPr>
          <w:color w:val="auto"/>
        </w:rPr>
        <w:fldChar w:fldCharType="separate"/>
      </w:r>
      <w:r>
        <w:rPr>
          <w:rFonts w:ascii="Helvetica" w:hAnsi="Helvetica" w:eastAsia="宋体" w:cs="Helvetica"/>
          <w:color w:val="auto"/>
          <w:kern w:val="0"/>
          <w:sz w:val="18"/>
          <w:szCs w:val="18"/>
          <w:u w:val="single"/>
        </w:rPr>
        <w:t>www.creditchina.gov.cn</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）列入严重失信主体名单。</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（3）开标当日被中国石油招标投标网暂停或取消投标资格。</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*8.6投标人没有法律、行政法规规定的其他限制参与招投标活动的情形。</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以上8.1-8.4条款投标人在投标文件中提供书面承诺，8.5条约定要求以开标当日在相应网站的查询结果为准。招标专业机构协助评标委员会将通过“信用中国”、“国家企业信用信息公示系统”和资质、资格强制要求的政府发证机关官方网站方式核查投标人信誉及所提供的证书、资料的真实性、有效性；核查投标人有无直接影响本项目履约能力的异常、有无违法违规记录等情形。</w:t>
      </w:r>
    </w:p>
    <w:p>
      <w:pPr>
        <w:widowControl/>
        <w:spacing w:before="100" w:beforeAutospacing="1" w:after="100" w:afterAutospacing="1"/>
        <w:ind w:left="417"/>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以上“*”号条款，如不满足，其投标将被否决。</w:t>
      </w:r>
    </w:p>
    <w:p>
      <w:pPr>
        <w:widowControl/>
        <w:spacing w:before="100" w:beforeAutospacing="1" w:after="100" w:afterAutospacing="1"/>
        <w:jc w:val="left"/>
        <w:rPr>
          <w:rFonts w:ascii="Helvetica" w:hAnsi="Helvetica" w:eastAsia="宋体" w:cs="Helvetica"/>
          <w:color w:val="auto"/>
          <w:kern w:val="0"/>
          <w:sz w:val="18"/>
          <w:szCs w:val="18"/>
        </w:rPr>
      </w:pPr>
      <w:bookmarkStart w:id="3" w:name="_Toc28094"/>
      <w:bookmarkEnd w:id="3"/>
      <w:r>
        <w:rPr>
          <w:rFonts w:ascii="Helvetica" w:hAnsi="Helvetica" w:eastAsia="宋体" w:cs="Helvetica"/>
          <w:color w:val="auto"/>
          <w:kern w:val="0"/>
          <w:sz w:val="18"/>
          <w:szCs w:val="18"/>
        </w:rPr>
        <w:t>4. 招标文件的获取</w:t>
      </w:r>
    </w:p>
    <w:p>
      <w:pPr>
        <w:widowControl/>
        <w:spacing w:before="100" w:beforeAutospacing="1" w:after="100" w:afterAutospacing="1"/>
        <w:jc w:val="left"/>
        <w:rPr>
          <w:rFonts w:ascii="Helvetica" w:hAnsi="Helvetica" w:eastAsia="宋体" w:cs="Helvetica"/>
          <w:color w:val="auto"/>
          <w:kern w:val="0"/>
          <w:sz w:val="18"/>
          <w:szCs w:val="18"/>
        </w:rPr>
      </w:pPr>
      <w:bookmarkStart w:id="4" w:name="_Hlk105316746"/>
      <w:bookmarkEnd w:id="4"/>
      <w:r>
        <w:rPr>
          <w:rFonts w:ascii="Helvetica" w:hAnsi="Helvetica" w:eastAsia="宋体" w:cs="Helvetica"/>
          <w:color w:val="auto"/>
          <w:kern w:val="0"/>
          <w:sz w:val="18"/>
          <w:szCs w:val="18"/>
        </w:rPr>
        <w:t>4.1凡有意参加投标的潜在投标人，请于2024年4月28日至2024年5月8日23:59:59（北京时间，下同）内完成以下步骤后登录中国石油电子招标投标交易平台下载电子招标文件。</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 xml:space="preserve"> 投标登记</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登录中国石油电子招标投标交易平台，搜索本项目，在拟投标标包处点击“报名”，网址：</w:t>
      </w:r>
      <w:r>
        <w:rPr>
          <w:color w:val="auto"/>
        </w:rPr>
        <w:fldChar w:fldCharType="begin"/>
      </w:r>
      <w:r>
        <w:rPr>
          <w:color w:val="auto"/>
        </w:rPr>
        <w:instrText xml:space="preserve"> HYPERLINK "http://ebidmanage.cnpcbidding.com/bidder/ebid/base/login.html" </w:instrText>
      </w:r>
      <w:r>
        <w:rPr>
          <w:color w:val="auto"/>
        </w:rPr>
        <w:fldChar w:fldCharType="separate"/>
      </w:r>
      <w:r>
        <w:rPr>
          <w:rFonts w:ascii="Helvetica" w:hAnsi="Helvetica" w:eastAsia="宋体" w:cs="Helvetica"/>
          <w:color w:val="auto"/>
          <w:kern w:val="0"/>
          <w:sz w:val="18"/>
          <w:szCs w:val="18"/>
          <w:u w:val="single"/>
        </w:rPr>
        <w:t>http://ebidmanage.cnpcbidding.com/bidder/ebid/base/login.html</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（如未在中国石油电子招标投标交易平台上注册过的潜在投标人需要先注册并通过平台审核。具体操作请参考中国石油招标投标网操作指南中“投标人用户手册”相关章节。）</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 xml:space="preserve"> 支付标书费</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登陆中国石油招标中心招标文件购买平台，在可购买的订单列表下支付标书费，网址：</w:t>
      </w:r>
      <w:r>
        <w:rPr>
          <w:color w:val="auto"/>
        </w:rPr>
        <w:fldChar w:fldCharType="begin"/>
      </w:r>
      <w:r>
        <w:rPr>
          <w:color w:val="auto"/>
        </w:rPr>
        <w:instrText xml:space="preserve"> HYPERLINK "https://www.cnpcbidding.com/?" \l "/wel/index" </w:instrText>
      </w:r>
      <w:r>
        <w:rPr>
          <w:color w:val="auto"/>
        </w:rPr>
        <w:fldChar w:fldCharType="separate"/>
      </w:r>
      <w:r>
        <w:rPr>
          <w:rFonts w:ascii="Helvetica" w:hAnsi="Helvetica" w:eastAsia="宋体" w:cs="Helvetica"/>
          <w:color w:val="auto"/>
          <w:kern w:val="0"/>
          <w:sz w:val="18"/>
          <w:szCs w:val="18"/>
          <w:u w:val="single"/>
        </w:rPr>
        <w:t>http://www2.cnpcbidding.com/#/wel/index</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登陆账号和中国石油电子招标投标交易平台一致，密码需要重新设置。投标人首次登录需通过手机验证码登录，登录后设置登录密码，提交成功后可以同时使用户名密码或手机验证码登录。详见附件《中国石油招标中心投标商用户操作手册》，咨询电话:4008800114。）</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4.2招标文件按项目售价为200元人民币，请有意参加投标的潜在投标人确认自身资格条件是否满足要求，售后不退，应自负其责。</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4.3本次招标文件采取线上发售的方式。潜在投标人在4.1规定的时间内完成4.1规定的2项工作（投标登记和支付标书费）后，潜在投标人可在中国石油电子招标投标交易平台下载招标文件。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4.4潜在投标人在中国石油招标中心招标文件购买平台上付款成功后，在“我的订单”中会生成一条购买记录，点击订单详情，自行下载招标文件电子发票，不再开具纸质发票。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4.5此次采购招标项目为全流程网上操作，需要使用U-key完成投标工作。</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 xml:space="preserve"> 所有首次参与中国石油招标项目投标人必须办理U-key。具体办理通知公告及操作手册下载方法如下：登录中国石油招标投标网首页：</w:t>
      </w:r>
      <w:r>
        <w:rPr>
          <w:color w:val="auto"/>
        </w:rPr>
        <w:fldChar w:fldCharType="begin"/>
      </w:r>
      <w:r>
        <w:rPr>
          <w:color w:val="auto"/>
        </w:rPr>
        <w:instrText xml:space="preserve"> HYPERLINK "https://www.cnpcbidding.com/" </w:instrText>
      </w:r>
      <w:r>
        <w:rPr>
          <w:color w:val="auto"/>
        </w:rPr>
        <w:fldChar w:fldCharType="separate"/>
      </w:r>
      <w:r>
        <w:rPr>
          <w:rFonts w:ascii="Helvetica" w:hAnsi="Helvetica" w:eastAsia="宋体" w:cs="Helvetica"/>
          <w:color w:val="auto"/>
          <w:kern w:val="0"/>
          <w:sz w:val="18"/>
          <w:szCs w:val="18"/>
          <w:u w:val="single"/>
        </w:rPr>
        <w:t>https://www.cnpcbidding.com“通知公告栏目”的“操作指南”中“电子招投标平台Ukey办理通知公告及操作手册”，即可下载“Ukey办理通知公告及操作手册.zip”。</w:t>
      </w:r>
      <w:r>
        <w:rPr>
          <w:rFonts w:ascii="Helvetica" w:hAnsi="Helvetica" w:eastAsia="宋体" w:cs="Helvetica"/>
          <w:color w:val="auto"/>
          <w:kern w:val="0"/>
          <w:sz w:val="18"/>
          <w:szCs w:val="18"/>
          <w:u w:val="single"/>
        </w:rPr>
        <w:fldChar w:fldCharType="end"/>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 xml:space="preserve"> 已办理U-key的投标人应复核U-key证书是否处于有效期内，如证书失效，需按上述程序购买新的U-key。</w:t>
      </w:r>
    </w:p>
    <w:p>
      <w:pPr>
        <w:widowControl/>
        <w:spacing w:before="100" w:beforeAutospacing="1" w:after="100" w:afterAutospacing="1"/>
        <w:jc w:val="left"/>
        <w:rPr>
          <w:rFonts w:ascii="Helvetica" w:hAnsi="Helvetica" w:eastAsia="宋体" w:cs="Helvetica"/>
          <w:color w:val="auto"/>
          <w:kern w:val="0"/>
          <w:sz w:val="18"/>
          <w:szCs w:val="18"/>
        </w:rPr>
      </w:pPr>
      <w:bookmarkStart w:id="5" w:name="_Toc28556"/>
      <w:bookmarkEnd w:id="5"/>
      <w:r>
        <w:rPr>
          <w:rFonts w:ascii="Helvetica" w:hAnsi="Helvetica" w:eastAsia="宋体" w:cs="Helvetica"/>
          <w:color w:val="auto"/>
          <w:kern w:val="0"/>
          <w:sz w:val="18"/>
          <w:szCs w:val="18"/>
        </w:rPr>
        <w:t>5. 投标文件的递交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5.1本次招标采取网上递交电子投标文件的投标方式</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投标文件递交的截止时间（投标截止时间及开标时间，下同）为2024年5月21日09时00分（北京时间，24小时制），投标人应在截止时间前通过中国石油电子招标投标交易平台递交电子投标文件。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注：请投标人注意：为确保投标有效，对于使用“投标客户端”编制的投标文件，在按照操作要求进行信息关联、签章、加密和上传后，确保上传的文件的附件状态都是验签完成。点击验签确认，当前状态是“已确认”，并且下方出现“撤标”按键，才视为成功提交投标文件。其它状态都是投标不成功，请投标人密切关注！如在投标截止时间前未能成功上传投标文件，投标将被拒绝。（为避免投标人在投标文件递交截止时间前未能成功上传投标文件，建议投标人提前2日递交投标文件）具体操作流程参见“操作指南-投标人操作手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5.2逾期上传的投标文件，中国石油电子招标投标交易平台将予以拒收。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5.3 潜在投标人应在投标截止时间前须按项目提交7万元投标保证金。 </w:t>
      </w:r>
    </w:p>
    <w:p>
      <w:pPr>
        <w:widowControl/>
        <w:spacing w:before="100" w:beforeAutospacing="1" w:after="100" w:afterAutospacing="1"/>
        <w:jc w:val="left"/>
        <w:rPr>
          <w:rFonts w:ascii="Helvetica" w:hAnsi="Helvetica" w:eastAsia="宋体" w:cs="Helvetica"/>
          <w:color w:val="auto"/>
          <w:kern w:val="0"/>
          <w:sz w:val="18"/>
          <w:szCs w:val="18"/>
        </w:rPr>
      </w:pPr>
      <w:bookmarkStart w:id="6" w:name="_Toc105326772"/>
      <w:bookmarkEnd w:id="6"/>
      <w:bookmarkStart w:id="7" w:name="_Toc93431413"/>
      <w:bookmarkEnd w:id="7"/>
      <w:bookmarkStart w:id="8" w:name="_Toc104480506"/>
      <w:bookmarkEnd w:id="8"/>
      <w:bookmarkStart w:id="9" w:name="_Toc184635058"/>
      <w:bookmarkEnd w:id="9"/>
      <w:bookmarkStart w:id="10" w:name="_Toc32512"/>
      <w:bookmarkEnd w:id="10"/>
      <w:bookmarkStart w:id="11" w:name="_Toc7181131"/>
      <w:r>
        <w:rPr>
          <w:rFonts w:ascii="Helvetica" w:hAnsi="Helvetica" w:eastAsia="宋体" w:cs="Helvetica"/>
          <w:color w:val="auto"/>
          <w:kern w:val="0"/>
          <w:sz w:val="18"/>
          <w:szCs w:val="18"/>
        </w:rPr>
        <w:t>6．发布公告的媒介</w:t>
      </w:r>
      <w:bookmarkEnd w:id="11"/>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本次招标公告在中国石油招标投标网(</w:t>
      </w:r>
      <w:r>
        <w:rPr>
          <w:color w:val="auto"/>
        </w:rPr>
        <w:fldChar w:fldCharType="begin"/>
      </w:r>
      <w:r>
        <w:rPr>
          <w:color w:val="auto"/>
        </w:rPr>
        <w:instrText xml:space="preserve"> HYPERLINK "http://www.cnpcbidding.com/" </w:instrText>
      </w:r>
      <w:r>
        <w:rPr>
          <w:color w:val="auto"/>
        </w:rPr>
        <w:fldChar w:fldCharType="separate"/>
      </w:r>
      <w:r>
        <w:rPr>
          <w:rFonts w:ascii="Helvetica" w:hAnsi="Helvetica" w:eastAsia="宋体" w:cs="Helvetica"/>
          <w:color w:val="auto"/>
          <w:kern w:val="0"/>
          <w:sz w:val="18"/>
          <w:szCs w:val="18"/>
          <w:u w:val="single"/>
        </w:rPr>
        <w:t>http://www.cnpcbidding.com</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)上发布。</w:t>
      </w:r>
    </w:p>
    <w:p>
      <w:pPr>
        <w:widowControl/>
        <w:spacing w:before="100" w:beforeAutospacing="1" w:after="100" w:afterAutospacing="1"/>
        <w:jc w:val="left"/>
        <w:rPr>
          <w:rFonts w:ascii="Helvetica" w:hAnsi="Helvetica" w:eastAsia="宋体" w:cs="Helvetica"/>
          <w:color w:val="auto"/>
          <w:kern w:val="0"/>
          <w:sz w:val="18"/>
          <w:szCs w:val="18"/>
        </w:rPr>
      </w:pPr>
      <w:bookmarkStart w:id="12" w:name="_Toc22650"/>
      <w:bookmarkEnd w:id="12"/>
      <w:bookmarkStart w:id="13" w:name="_Toc129269214"/>
      <w:r>
        <w:rPr>
          <w:rFonts w:ascii="Helvetica" w:hAnsi="Helvetica" w:eastAsia="宋体" w:cs="Helvetica"/>
          <w:color w:val="auto"/>
          <w:kern w:val="0"/>
          <w:sz w:val="18"/>
          <w:szCs w:val="18"/>
        </w:rPr>
        <w:t>7</w:t>
      </w:r>
      <w:bookmarkEnd w:id="13"/>
      <w:r>
        <w:rPr>
          <w:rFonts w:ascii="Helvetica" w:hAnsi="Helvetica" w:eastAsia="宋体" w:cs="Helvetica"/>
          <w:color w:val="auto"/>
          <w:kern w:val="0"/>
          <w:sz w:val="18"/>
          <w:szCs w:val="18"/>
        </w:rPr>
        <w:t>. 联系方式 </w:t>
      </w:r>
    </w:p>
    <w:tbl>
      <w:tblPr>
        <w:tblStyle w:val="3"/>
        <w:tblW w:w="0" w:type="auto"/>
        <w:jc w:val="center"/>
        <w:tblCellSpacing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4534"/>
        <w:gridCol w:w="3952"/>
      </w:tblGrid>
      <w:tr>
        <w:trPr>
          <w:tblCellSpacing w:w="0" w:type="dxa"/>
          <w:jc w:val="center"/>
        </w:trPr>
        <w:tc>
          <w:tcPr>
            <w:tcW w:w="52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ind w:left="1527"/>
              <w:jc w:val="left"/>
              <w:rPr>
                <w:rFonts w:ascii="宋体" w:hAnsi="宋体" w:eastAsia="宋体" w:cs="宋体"/>
                <w:color w:val="auto"/>
                <w:kern w:val="0"/>
                <w:sz w:val="24"/>
                <w:szCs w:val="24"/>
              </w:rPr>
            </w:pPr>
            <w:bookmarkStart w:id="14" w:name="_Toc244261269"/>
            <w:r>
              <w:rPr>
                <w:rFonts w:ascii="宋体" w:hAnsi="宋体" w:eastAsia="宋体" w:cs="宋体"/>
                <w:color w:val="auto"/>
                <w:kern w:val="0"/>
                <w:sz w:val="24"/>
                <w:szCs w:val="24"/>
              </w:rPr>
              <w:t>招</w:t>
            </w:r>
            <w:bookmarkEnd w:id="14"/>
            <w:r>
              <w:rPr>
                <w:rFonts w:ascii="宋体" w:hAnsi="宋体" w:eastAsia="宋体" w:cs="宋体"/>
                <w:color w:val="auto"/>
                <w:kern w:val="0"/>
                <w:sz w:val="24"/>
                <w:szCs w:val="24"/>
              </w:rPr>
              <w:t> 标 人：</w:t>
            </w:r>
            <w:r>
              <w:rPr>
                <w:rFonts w:ascii="宋体" w:hAnsi="宋体" w:eastAsia="宋体" w:cs="宋体"/>
                <w:color w:val="auto"/>
                <w:kern w:val="0"/>
                <w:sz w:val="24"/>
                <w:szCs w:val="24"/>
                <w:u w:val="single"/>
              </w:rPr>
              <w:t>中国石油西南油气田分公司勘探事业部</w:t>
            </w:r>
            <w:r>
              <w:rPr>
                <w:rFonts w:ascii="宋体" w:hAnsi="宋体" w:eastAsia="宋体" w:cs="宋体"/>
                <w:color w:val="auto"/>
                <w:kern w:val="0"/>
                <w:sz w:val="24"/>
                <w:szCs w:val="24"/>
              </w:rPr>
              <w:t>                 </w:t>
            </w:r>
          </w:p>
        </w:tc>
        <w:tc>
          <w:tcPr>
            <w:tcW w:w="50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招标机构：</w:t>
            </w:r>
            <w:r>
              <w:rPr>
                <w:rFonts w:ascii="宋体" w:hAnsi="宋体" w:eastAsia="宋体" w:cs="宋体"/>
                <w:color w:val="auto"/>
                <w:kern w:val="0"/>
                <w:sz w:val="24"/>
                <w:szCs w:val="24"/>
                <w:u w:val="single"/>
              </w:rPr>
              <w:t>中国石油物资有限公司西南分公司</w:t>
            </w:r>
          </w:p>
        </w:tc>
      </w:tr>
      <w:tr>
        <w:trPr>
          <w:tblCellSpacing w:w="0" w:type="dxa"/>
          <w:jc w:val="center"/>
        </w:trPr>
        <w:tc>
          <w:tcPr>
            <w:tcW w:w="52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地    址：</w:t>
            </w:r>
            <w:r>
              <w:rPr>
                <w:rFonts w:ascii="宋体" w:hAnsi="宋体" w:eastAsia="宋体" w:cs="宋体"/>
                <w:color w:val="auto"/>
                <w:kern w:val="0"/>
                <w:sz w:val="24"/>
                <w:szCs w:val="24"/>
                <w:u w:val="single"/>
              </w:rPr>
              <w:t>/</w:t>
            </w:r>
            <w:r>
              <w:rPr>
                <w:rFonts w:ascii="宋体" w:hAnsi="宋体" w:eastAsia="宋体" w:cs="宋体"/>
                <w:color w:val="auto"/>
                <w:kern w:val="0"/>
                <w:sz w:val="24"/>
                <w:szCs w:val="24"/>
              </w:rPr>
              <w:t>                          </w:t>
            </w:r>
          </w:p>
        </w:tc>
        <w:tc>
          <w:tcPr>
            <w:tcW w:w="50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地    址：</w:t>
            </w:r>
            <w:r>
              <w:rPr>
                <w:rFonts w:ascii="宋体" w:hAnsi="宋体" w:eastAsia="宋体" w:cs="宋体"/>
                <w:color w:val="auto"/>
                <w:kern w:val="0"/>
                <w:sz w:val="24"/>
                <w:szCs w:val="24"/>
                <w:u w:val="single"/>
              </w:rPr>
              <w:t>四川省成都市青羊区小关庙街6号</w:t>
            </w:r>
          </w:p>
        </w:tc>
      </w:tr>
      <w:tr>
        <w:trPr>
          <w:tblCellSpacing w:w="0" w:type="dxa"/>
          <w:jc w:val="center"/>
        </w:trPr>
        <w:tc>
          <w:tcPr>
            <w:tcW w:w="52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邮    编：</w:t>
            </w:r>
            <w:r>
              <w:rPr>
                <w:rFonts w:ascii="宋体" w:hAnsi="宋体" w:eastAsia="宋体" w:cs="宋体"/>
                <w:color w:val="auto"/>
                <w:kern w:val="0"/>
                <w:sz w:val="24"/>
                <w:szCs w:val="24"/>
                <w:u w:val="single"/>
              </w:rPr>
              <w:t>/</w:t>
            </w:r>
            <w:r>
              <w:rPr>
                <w:rFonts w:ascii="宋体" w:hAnsi="宋体" w:eastAsia="宋体" w:cs="宋体"/>
                <w:color w:val="auto"/>
                <w:kern w:val="0"/>
                <w:sz w:val="24"/>
                <w:szCs w:val="24"/>
              </w:rPr>
              <w:t>                           </w:t>
            </w:r>
          </w:p>
        </w:tc>
        <w:tc>
          <w:tcPr>
            <w:tcW w:w="50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邮    编：</w:t>
            </w:r>
            <w:r>
              <w:rPr>
                <w:rFonts w:ascii="宋体" w:hAnsi="宋体" w:eastAsia="宋体" w:cs="宋体"/>
                <w:color w:val="auto"/>
                <w:kern w:val="0"/>
                <w:sz w:val="24"/>
                <w:szCs w:val="24"/>
                <w:u w:val="single"/>
              </w:rPr>
              <w:t>610017   </w:t>
            </w:r>
            <w:r>
              <w:rPr>
                <w:rFonts w:ascii="宋体" w:hAnsi="宋体" w:eastAsia="宋体" w:cs="宋体"/>
                <w:color w:val="auto"/>
                <w:kern w:val="0"/>
                <w:sz w:val="24"/>
                <w:szCs w:val="24"/>
              </w:rPr>
              <w:t>         </w:t>
            </w:r>
          </w:p>
        </w:tc>
      </w:tr>
      <w:tr>
        <w:trPr>
          <w:tblCellSpacing w:w="0" w:type="dxa"/>
          <w:jc w:val="center"/>
        </w:trPr>
        <w:tc>
          <w:tcPr>
            <w:tcW w:w="52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 系 人：</w:t>
            </w:r>
            <w:r>
              <w:rPr>
                <w:rFonts w:ascii="宋体" w:hAnsi="宋体" w:eastAsia="宋体" w:cs="宋体"/>
                <w:color w:val="auto"/>
                <w:kern w:val="0"/>
                <w:sz w:val="24"/>
                <w:szCs w:val="24"/>
                <w:u w:val="single"/>
              </w:rPr>
              <w:t>谢女士</w:t>
            </w:r>
            <w:r>
              <w:rPr>
                <w:rFonts w:ascii="宋体" w:hAnsi="宋体" w:eastAsia="宋体" w:cs="宋体"/>
                <w:color w:val="auto"/>
                <w:kern w:val="0"/>
                <w:sz w:val="24"/>
                <w:szCs w:val="24"/>
              </w:rPr>
              <w:t>                        </w:t>
            </w:r>
          </w:p>
        </w:tc>
        <w:tc>
          <w:tcPr>
            <w:tcW w:w="50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 系 人：</w:t>
            </w:r>
            <w:r>
              <w:rPr>
                <w:rFonts w:ascii="宋体" w:hAnsi="宋体" w:eastAsia="宋体" w:cs="宋体"/>
                <w:color w:val="auto"/>
                <w:kern w:val="0"/>
                <w:sz w:val="24"/>
                <w:szCs w:val="24"/>
                <w:u w:val="single"/>
              </w:rPr>
              <w:t>曹女士</w:t>
            </w:r>
            <w:r>
              <w:rPr>
                <w:rFonts w:ascii="宋体" w:hAnsi="宋体" w:eastAsia="宋体" w:cs="宋体"/>
                <w:color w:val="auto"/>
                <w:kern w:val="0"/>
                <w:sz w:val="24"/>
                <w:szCs w:val="24"/>
              </w:rPr>
              <w:t>                             </w:t>
            </w:r>
          </w:p>
        </w:tc>
      </w:tr>
      <w:tr>
        <w:trPr>
          <w:tblCellSpacing w:w="0" w:type="dxa"/>
          <w:jc w:val="center"/>
        </w:trPr>
        <w:tc>
          <w:tcPr>
            <w:tcW w:w="52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    话：</w:t>
            </w:r>
            <w:r>
              <w:rPr>
                <w:rFonts w:ascii="宋体" w:hAnsi="宋体" w:eastAsia="宋体" w:cs="宋体"/>
                <w:color w:val="auto"/>
                <w:kern w:val="0"/>
                <w:sz w:val="24"/>
                <w:szCs w:val="24"/>
                <w:u w:val="single"/>
              </w:rPr>
              <w:t>18215690064</w:t>
            </w:r>
            <w:r>
              <w:rPr>
                <w:rFonts w:ascii="宋体" w:hAnsi="宋体" w:eastAsia="宋体" w:cs="宋体"/>
                <w:color w:val="auto"/>
                <w:kern w:val="0"/>
                <w:sz w:val="24"/>
                <w:szCs w:val="24"/>
              </w:rPr>
              <w:t>                               </w:t>
            </w:r>
          </w:p>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传    真：</w:t>
            </w:r>
            <w:r>
              <w:rPr>
                <w:rFonts w:ascii="宋体" w:hAnsi="宋体" w:eastAsia="宋体" w:cs="宋体"/>
                <w:color w:val="auto"/>
                <w:kern w:val="0"/>
                <w:sz w:val="24"/>
                <w:szCs w:val="24"/>
                <w:u w:val="single"/>
              </w:rPr>
              <w:t>/</w:t>
            </w:r>
            <w:r>
              <w:rPr>
                <w:rFonts w:ascii="宋体" w:hAnsi="宋体" w:eastAsia="宋体" w:cs="宋体"/>
                <w:color w:val="auto"/>
                <w:kern w:val="0"/>
                <w:sz w:val="24"/>
                <w:szCs w:val="24"/>
              </w:rPr>
              <w:t>                             </w:t>
            </w:r>
          </w:p>
        </w:tc>
        <w:tc>
          <w:tcPr>
            <w:tcW w:w="50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    话：</w:t>
            </w:r>
            <w:r>
              <w:rPr>
                <w:rFonts w:ascii="宋体" w:hAnsi="宋体" w:eastAsia="宋体" w:cs="宋体"/>
                <w:color w:val="auto"/>
                <w:kern w:val="0"/>
                <w:sz w:val="24"/>
                <w:szCs w:val="24"/>
                <w:u w:val="single"/>
              </w:rPr>
              <w:t>028-68250035</w:t>
            </w:r>
            <w:r>
              <w:rPr>
                <w:rFonts w:ascii="宋体" w:hAnsi="宋体" w:eastAsia="宋体" w:cs="宋体"/>
                <w:color w:val="auto"/>
                <w:kern w:val="0"/>
                <w:sz w:val="24"/>
                <w:szCs w:val="24"/>
              </w:rPr>
              <w:t>          </w:t>
            </w:r>
          </w:p>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传    真：</w:t>
            </w:r>
            <w:r>
              <w:rPr>
                <w:rFonts w:ascii="宋体" w:hAnsi="宋体" w:eastAsia="宋体" w:cs="宋体"/>
                <w:color w:val="auto"/>
                <w:kern w:val="0"/>
                <w:sz w:val="24"/>
                <w:szCs w:val="24"/>
                <w:u w:val="single"/>
              </w:rPr>
              <w:t>/</w:t>
            </w:r>
            <w:r>
              <w:rPr>
                <w:rFonts w:ascii="宋体" w:hAnsi="宋体" w:eastAsia="宋体" w:cs="宋体"/>
                <w:color w:val="auto"/>
                <w:kern w:val="0"/>
                <w:sz w:val="24"/>
                <w:szCs w:val="24"/>
              </w:rPr>
              <w:t>               </w:t>
            </w:r>
          </w:p>
        </w:tc>
      </w:tr>
      <w:tr>
        <w:trPr>
          <w:tblCellSpacing w:w="0" w:type="dxa"/>
          <w:jc w:val="center"/>
        </w:trPr>
        <w:tc>
          <w:tcPr>
            <w:tcW w:w="52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电子邮件：</w:t>
            </w:r>
            <w:r>
              <w:rPr>
                <w:rFonts w:ascii="宋体" w:hAnsi="宋体" w:eastAsia="宋体" w:cs="宋体"/>
                <w:color w:val="auto"/>
                <w:kern w:val="0"/>
                <w:sz w:val="24"/>
                <w:szCs w:val="24"/>
                <w:u w:val="single"/>
              </w:rPr>
              <w:t>/</w:t>
            </w:r>
            <w:r>
              <w:rPr>
                <w:rFonts w:ascii="宋体" w:hAnsi="宋体" w:eastAsia="宋体" w:cs="宋体"/>
                <w:color w:val="auto"/>
                <w:kern w:val="0"/>
                <w:sz w:val="24"/>
                <w:szCs w:val="24"/>
              </w:rPr>
              <w:t>                            </w:t>
            </w:r>
          </w:p>
        </w:tc>
        <w:tc>
          <w:tcPr>
            <w:tcW w:w="50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电子邮件：</w:t>
            </w:r>
            <w:r>
              <w:rPr>
                <w:rFonts w:ascii="宋体" w:hAnsi="宋体" w:eastAsia="宋体" w:cs="宋体"/>
                <w:color w:val="auto"/>
                <w:kern w:val="0"/>
                <w:sz w:val="24"/>
                <w:szCs w:val="24"/>
                <w:u w:val="single"/>
              </w:rPr>
              <w:t>/</w:t>
            </w:r>
            <w:r>
              <w:rPr>
                <w:rFonts w:ascii="宋体" w:hAnsi="宋体" w:eastAsia="宋体" w:cs="宋体"/>
                <w:color w:val="auto"/>
                <w:kern w:val="0"/>
                <w:sz w:val="24"/>
                <w:szCs w:val="24"/>
              </w:rPr>
              <w:t>                             </w:t>
            </w:r>
          </w:p>
        </w:tc>
      </w:tr>
      <w:tr>
        <w:trPr>
          <w:tblCellSpacing w:w="0" w:type="dxa"/>
          <w:jc w:val="center"/>
        </w:trPr>
        <w:tc>
          <w:tcPr>
            <w:tcW w:w="52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网    址：</w:t>
            </w:r>
            <w:r>
              <w:rPr>
                <w:rFonts w:ascii="宋体" w:hAnsi="宋体" w:eastAsia="宋体" w:cs="宋体"/>
                <w:color w:val="auto"/>
                <w:kern w:val="0"/>
                <w:sz w:val="24"/>
                <w:szCs w:val="24"/>
                <w:u w:val="single"/>
              </w:rPr>
              <w:t>/</w:t>
            </w:r>
            <w:r>
              <w:rPr>
                <w:rFonts w:ascii="宋体" w:hAnsi="宋体" w:eastAsia="宋体" w:cs="宋体"/>
                <w:color w:val="auto"/>
                <w:kern w:val="0"/>
                <w:sz w:val="24"/>
                <w:szCs w:val="24"/>
              </w:rPr>
              <w:t>                            </w:t>
            </w:r>
          </w:p>
        </w:tc>
        <w:tc>
          <w:tcPr>
            <w:tcW w:w="50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网    址：</w:t>
            </w:r>
            <w:r>
              <w:rPr>
                <w:rFonts w:ascii="宋体" w:hAnsi="宋体" w:eastAsia="宋体" w:cs="宋体"/>
                <w:color w:val="auto"/>
                <w:kern w:val="0"/>
                <w:sz w:val="24"/>
                <w:szCs w:val="24"/>
                <w:u w:val="single"/>
              </w:rPr>
              <w:t>/</w:t>
            </w:r>
            <w:r>
              <w:rPr>
                <w:rFonts w:ascii="宋体" w:hAnsi="宋体" w:eastAsia="宋体" w:cs="宋体"/>
                <w:color w:val="auto"/>
                <w:kern w:val="0"/>
                <w:sz w:val="24"/>
                <w:szCs w:val="24"/>
              </w:rPr>
              <w:t>               </w:t>
            </w:r>
          </w:p>
        </w:tc>
      </w:tr>
      <w:tr>
        <w:trPr>
          <w:tblCellSpacing w:w="0" w:type="dxa"/>
          <w:jc w:val="center"/>
        </w:trPr>
        <w:tc>
          <w:tcPr>
            <w:tcW w:w="52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开户银行：</w:t>
            </w:r>
            <w:r>
              <w:rPr>
                <w:rFonts w:ascii="宋体" w:hAnsi="宋体" w:eastAsia="宋体" w:cs="宋体"/>
                <w:color w:val="auto"/>
                <w:kern w:val="0"/>
                <w:sz w:val="24"/>
                <w:szCs w:val="24"/>
                <w:u w:val="single"/>
              </w:rPr>
              <w:t>/</w:t>
            </w:r>
            <w:r>
              <w:rPr>
                <w:rFonts w:ascii="宋体" w:hAnsi="宋体" w:eastAsia="宋体" w:cs="宋体"/>
                <w:color w:val="auto"/>
                <w:kern w:val="0"/>
                <w:sz w:val="24"/>
                <w:szCs w:val="24"/>
              </w:rPr>
              <w:t>                          </w:t>
            </w:r>
          </w:p>
        </w:tc>
        <w:tc>
          <w:tcPr>
            <w:tcW w:w="50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开户银行：</w:t>
            </w:r>
            <w:r>
              <w:rPr>
                <w:rFonts w:ascii="宋体" w:hAnsi="宋体" w:eastAsia="宋体" w:cs="宋体"/>
                <w:color w:val="auto"/>
                <w:kern w:val="0"/>
                <w:sz w:val="24"/>
                <w:szCs w:val="24"/>
                <w:u w:val="single"/>
              </w:rPr>
              <w:t>/</w:t>
            </w:r>
            <w:r>
              <w:rPr>
                <w:rFonts w:ascii="宋体" w:hAnsi="宋体" w:eastAsia="宋体" w:cs="宋体"/>
                <w:color w:val="auto"/>
                <w:kern w:val="0"/>
                <w:sz w:val="24"/>
                <w:szCs w:val="24"/>
              </w:rPr>
              <w:t>               </w:t>
            </w:r>
          </w:p>
        </w:tc>
      </w:tr>
      <w:tr>
        <w:trPr>
          <w:tblCellSpacing w:w="0" w:type="dxa"/>
          <w:jc w:val="center"/>
        </w:trPr>
        <w:tc>
          <w:tcPr>
            <w:tcW w:w="52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账    号：</w:t>
            </w:r>
            <w:r>
              <w:rPr>
                <w:rFonts w:ascii="宋体" w:hAnsi="宋体" w:eastAsia="宋体" w:cs="宋体"/>
                <w:color w:val="auto"/>
                <w:kern w:val="0"/>
                <w:sz w:val="24"/>
                <w:szCs w:val="24"/>
                <w:u w:val="single"/>
              </w:rPr>
              <w:t>/</w:t>
            </w:r>
            <w:r>
              <w:rPr>
                <w:rFonts w:ascii="宋体" w:hAnsi="宋体" w:eastAsia="宋体" w:cs="宋体"/>
                <w:color w:val="auto"/>
                <w:kern w:val="0"/>
                <w:sz w:val="24"/>
                <w:szCs w:val="24"/>
              </w:rPr>
              <w:t>                          </w:t>
            </w:r>
          </w:p>
        </w:tc>
        <w:tc>
          <w:tcPr>
            <w:tcW w:w="50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账    号：</w:t>
            </w:r>
            <w:r>
              <w:rPr>
                <w:rFonts w:ascii="宋体" w:hAnsi="宋体" w:eastAsia="宋体" w:cs="宋体"/>
                <w:color w:val="auto"/>
                <w:kern w:val="0"/>
                <w:sz w:val="24"/>
                <w:szCs w:val="24"/>
                <w:u w:val="single"/>
              </w:rPr>
              <w:t>/</w:t>
            </w:r>
            <w:r>
              <w:rPr>
                <w:rFonts w:ascii="宋体" w:hAnsi="宋体" w:eastAsia="宋体" w:cs="宋体"/>
                <w:color w:val="auto"/>
                <w:kern w:val="0"/>
                <w:sz w:val="24"/>
                <w:szCs w:val="24"/>
              </w:rPr>
              <w:t>              </w:t>
            </w:r>
          </w:p>
        </w:tc>
      </w:tr>
      <w:tr>
        <w:trPr>
          <w:tblCellSpacing w:w="0" w:type="dxa"/>
          <w:jc w:val="center"/>
        </w:trPr>
        <w:tc>
          <w:tcPr>
            <w:tcW w:w="52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50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r>
      <w:tr>
        <w:trPr>
          <w:tblCellSpacing w:w="0" w:type="dxa"/>
          <w:jc w:val="center"/>
        </w:trPr>
        <w:tc>
          <w:tcPr>
            <w:tcW w:w="52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50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r>
    </w:tbl>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网站注册、U-Key办理、招标管理平台（购买招标文件及投标保证金递交）及电子交易平台操作指导：</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咨询电话：4008800114</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交易平台运营机构：中油物采信息技术有限公司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能源一号网站邮箱：energyahead@cnpc.com.cn</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请务必在操作前认真阅读操作手册，如有疑问再在工作时间咨询。</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中国石油物资有限公司西南分公司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（中国石油天然气集团有限公司招标中心西南分中心）</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u w:val="single"/>
        </w:rPr>
        <w:t>2024</w:t>
      </w:r>
      <w:r>
        <w:rPr>
          <w:rFonts w:ascii="Helvetica" w:hAnsi="Helvetica" w:eastAsia="宋体" w:cs="Helvetica"/>
          <w:color w:val="auto"/>
          <w:kern w:val="0"/>
          <w:sz w:val="18"/>
          <w:szCs w:val="18"/>
        </w:rPr>
        <w:t>年</w:t>
      </w:r>
      <w:r>
        <w:rPr>
          <w:rFonts w:ascii="Helvetica" w:hAnsi="Helvetica" w:eastAsia="宋体" w:cs="Helvetica"/>
          <w:color w:val="auto"/>
          <w:kern w:val="0"/>
          <w:sz w:val="18"/>
          <w:szCs w:val="18"/>
          <w:u w:val="single"/>
        </w:rPr>
        <w:t>4</w:t>
      </w:r>
      <w:r>
        <w:rPr>
          <w:rFonts w:ascii="Helvetica" w:hAnsi="Helvetica" w:eastAsia="宋体" w:cs="Helvetica"/>
          <w:color w:val="auto"/>
          <w:kern w:val="0"/>
          <w:sz w:val="18"/>
          <w:szCs w:val="18"/>
        </w:rPr>
        <w:t>月</w:t>
      </w:r>
      <w:r>
        <w:rPr>
          <w:rFonts w:ascii="Helvetica" w:hAnsi="Helvetica" w:eastAsia="宋体" w:cs="Helvetica"/>
          <w:color w:val="auto"/>
          <w:kern w:val="0"/>
          <w:sz w:val="18"/>
          <w:szCs w:val="18"/>
          <w:u w:val="single"/>
        </w:rPr>
        <w:t>28</w:t>
      </w:r>
      <w:r>
        <w:rPr>
          <w:rFonts w:ascii="Helvetica" w:hAnsi="Helvetica" w:eastAsia="宋体" w:cs="Helvetica"/>
          <w:color w:val="auto"/>
          <w:kern w:val="0"/>
          <w:sz w:val="18"/>
          <w:szCs w:val="18"/>
        </w:rPr>
        <w:t>日</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附件：投标商操作手册V1.1.pdf</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附件：0、中金支付--投标商操作手册.docx</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附件：投标保证保险理赔服务书-中意财险.doc</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附件：投标保证金保险功能操作手册-投标人.docx</w:t>
      </w:r>
    </w:p>
    <w:p>
      <w:pPr>
        <w:rPr>
          <w:color w:val="auto"/>
        </w:rPr>
      </w:pPr>
    </w:p>
    <w:bookmarkEnd w:id="1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NjE1OGJhOWEzYzYxZWYzY2IzNGQyMTJhNTI0MGUifQ=="/>
  </w:docVars>
  <w:rsids>
    <w:rsidRoot w:val="00E64A9E"/>
    <w:rsid w:val="008133EB"/>
    <w:rsid w:val="009C66E9"/>
    <w:rsid w:val="009D0262"/>
    <w:rsid w:val="00AC02C6"/>
    <w:rsid w:val="00E64A9E"/>
    <w:rsid w:val="00FF6301"/>
    <w:rsid w:val="231033F4"/>
    <w:rsid w:val="C7FDE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styleId="6">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902</Words>
  <Characters>5143</Characters>
  <Lines>42</Lines>
  <Paragraphs>12</Paragraphs>
  <TotalTime>6</TotalTime>
  <ScaleCrop>false</ScaleCrop>
  <LinksUpToDate>false</LinksUpToDate>
  <CharactersWithSpaces>6033</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2024-05-10T22:04:00Z</dcterms:created>
  <dc:creator>梓义 杜</dc:creator>
  <cp:lastModifiedBy>小灰灰</cp:lastModifiedBy>
  <dcterms:modified xsi:type="dcterms:W3CDTF">2024-07-10T10:46:46Z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F8977C94FC1C4095BFADB170E69360BF_12</vt:lpwstr>
  </property>
</Properties>
</file>